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FACB" w14:textId="780614E2" w:rsidR="00534116" w:rsidRPr="006F6800" w:rsidRDefault="00534116" w:rsidP="006F6800">
      <w:pPr>
        <w:ind w:right="-1" w:firstLine="709"/>
        <w:jc w:val="right"/>
        <w:rPr>
          <w:rFonts w:ascii="Times New Roman" w:eastAsia="Algerian" w:hAnsi="Times New Roman" w:cs="Times New Roman"/>
          <w:iCs/>
          <w:color w:val="000000" w:themeColor="text1"/>
          <w:sz w:val="24"/>
          <w:szCs w:val="24"/>
          <w:vertAlign w:val="superscript"/>
        </w:rPr>
      </w:pPr>
      <w:r w:rsidRPr="006F6800">
        <w:rPr>
          <w:rFonts w:ascii="Times New Roman" w:eastAsia="Algerian" w:hAnsi="Times New Roman" w:cs="Times New Roman"/>
          <w:iCs/>
          <w:color w:val="000000" w:themeColor="text1"/>
          <w:sz w:val="24"/>
          <w:szCs w:val="24"/>
        </w:rPr>
        <w:t>Anexa nr. 9</w:t>
      </w:r>
      <w:r w:rsidRPr="006F6800">
        <w:rPr>
          <w:rFonts w:ascii="Times New Roman" w:eastAsia="Algerian" w:hAnsi="Times New Roman" w:cs="Times New Roman"/>
          <w:iCs/>
          <w:color w:val="000000" w:themeColor="text1"/>
          <w:sz w:val="24"/>
          <w:szCs w:val="24"/>
          <w:vertAlign w:val="superscript"/>
        </w:rPr>
        <w:t>1</w:t>
      </w:r>
    </w:p>
    <w:p w14:paraId="08F5285F" w14:textId="77777777" w:rsidR="00534116" w:rsidRPr="006F6800" w:rsidRDefault="00534116" w:rsidP="006F6800">
      <w:pPr>
        <w:ind w:right="-1" w:firstLine="709"/>
        <w:jc w:val="right"/>
        <w:rPr>
          <w:rFonts w:ascii="Times New Roman" w:eastAsia="Algerian" w:hAnsi="Times New Roman" w:cs="Times New Roman"/>
          <w:iCs/>
          <w:color w:val="000000" w:themeColor="text1"/>
          <w:sz w:val="24"/>
          <w:szCs w:val="24"/>
        </w:rPr>
      </w:pPr>
      <w:r w:rsidRPr="006F6800">
        <w:rPr>
          <w:rFonts w:ascii="Times New Roman" w:eastAsia="Algerian" w:hAnsi="Times New Roman" w:cs="Times New Roman"/>
          <w:iCs/>
          <w:color w:val="000000" w:themeColor="text1"/>
          <w:sz w:val="24"/>
          <w:szCs w:val="24"/>
        </w:rPr>
        <w:t xml:space="preserve"> la Regulamentul privind raportarea, </w:t>
      </w:r>
    </w:p>
    <w:p w14:paraId="401A8A32" w14:textId="77777777" w:rsidR="00534116" w:rsidRPr="006F6800" w:rsidRDefault="00534116" w:rsidP="006F6800">
      <w:pPr>
        <w:ind w:right="-1" w:firstLine="709"/>
        <w:jc w:val="right"/>
        <w:rPr>
          <w:rFonts w:ascii="Times New Roman" w:eastAsia="Algerian" w:hAnsi="Times New Roman" w:cs="Times New Roman"/>
          <w:iCs/>
          <w:color w:val="000000" w:themeColor="text1"/>
          <w:sz w:val="24"/>
          <w:szCs w:val="24"/>
        </w:rPr>
      </w:pPr>
      <w:r w:rsidRPr="006F6800">
        <w:rPr>
          <w:rFonts w:ascii="Times New Roman" w:eastAsia="Algerian" w:hAnsi="Times New Roman" w:cs="Times New Roman"/>
          <w:iCs/>
          <w:color w:val="000000" w:themeColor="text1"/>
          <w:sz w:val="24"/>
          <w:szCs w:val="24"/>
        </w:rPr>
        <w:t>analiza şi acţiunile subsecvente cu</w:t>
      </w:r>
    </w:p>
    <w:p w14:paraId="55347728" w14:textId="77777777" w:rsidR="00534116" w:rsidRPr="006F6800" w:rsidRDefault="00534116" w:rsidP="006F6800">
      <w:pPr>
        <w:ind w:right="-1" w:firstLine="709"/>
        <w:jc w:val="right"/>
        <w:rPr>
          <w:rFonts w:ascii="Times New Roman" w:eastAsia="Times New Roman" w:hAnsi="Times New Roman" w:cs="Times New Roman"/>
          <w:bCs/>
          <w:i/>
          <w:sz w:val="24"/>
          <w:szCs w:val="24"/>
        </w:rPr>
      </w:pPr>
      <w:r w:rsidRPr="006F6800">
        <w:rPr>
          <w:rFonts w:ascii="Times New Roman" w:eastAsia="Algerian" w:hAnsi="Times New Roman" w:cs="Times New Roman"/>
          <w:iCs/>
          <w:color w:val="000000" w:themeColor="text1"/>
          <w:sz w:val="24"/>
          <w:szCs w:val="24"/>
        </w:rPr>
        <w:t xml:space="preserve"> privire la evenimentele de aviaţie civilă</w:t>
      </w:r>
    </w:p>
    <w:p w14:paraId="58CC0EF3" w14:textId="77777777" w:rsidR="00534116" w:rsidRPr="006F6800" w:rsidRDefault="00534116" w:rsidP="006F6800">
      <w:pPr>
        <w:spacing w:line="360" w:lineRule="auto"/>
        <w:ind w:right="-1" w:firstLine="709"/>
        <w:jc w:val="right"/>
        <w:rPr>
          <w:rFonts w:ascii="Times New Roman" w:eastAsia="Times New Roman" w:hAnsi="Times New Roman" w:cs="Times New Roman"/>
          <w:bCs/>
          <w:sz w:val="24"/>
          <w:szCs w:val="24"/>
        </w:rPr>
      </w:pPr>
    </w:p>
    <w:p w14:paraId="27665CD1" w14:textId="77777777" w:rsidR="00534116" w:rsidRPr="006F6800" w:rsidRDefault="00534116" w:rsidP="006F6800">
      <w:pPr>
        <w:ind w:right="-1" w:firstLine="709"/>
        <w:jc w:val="center"/>
        <w:rPr>
          <w:rFonts w:ascii="Times New Roman" w:eastAsia="Times New Roman" w:hAnsi="Times New Roman" w:cs="Times New Roman"/>
          <w:b/>
          <w:sz w:val="24"/>
          <w:szCs w:val="24"/>
        </w:rPr>
      </w:pPr>
      <w:r w:rsidRPr="006F6800">
        <w:rPr>
          <w:rFonts w:ascii="Times New Roman" w:eastAsia="Times New Roman" w:hAnsi="Times New Roman" w:cs="Times New Roman"/>
          <w:b/>
          <w:sz w:val="24"/>
          <w:szCs w:val="24"/>
        </w:rPr>
        <w:t>SISTEMUL EUROPEAN DE CLASIFICARE ÎN FUNCȚIE DE RISC</w:t>
      </w:r>
    </w:p>
    <w:p w14:paraId="1D037DEB" w14:textId="77777777" w:rsidR="00534116" w:rsidRPr="006F6800" w:rsidRDefault="00534116" w:rsidP="006F6800">
      <w:pPr>
        <w:ind w:right="-1"/>
        <w:jc w:val="both"/>
        <w:rPr>
          <w:rFonts w:ascii="Times New Roman" w:eastAsia="Times New Roman" w:hAnsi="Times New Roman" w:cs="Times New Roman"/>
          <w:b/>
          <w:sz w:val="24"/>
          <w:szCs w:val="24"/>
        </w:rPr>
      </w:pPr>
    </w:p>
    <w:p w14:paraId="2A02587E" w14:textId="77777777" w:rsidR="00534116" w:rsidRPr="006F6800" w:rsidRDefault="00534116" w:rsidP="006F6800">
      <w:pPr>
        <w:pStyle w:val="ListParagraph"/>
        <w:tabs>
          <w:tab w:val="left" w:pos="993"/>
        </w:tabs>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1.</w:t>
      </w:r>
      <w:r w:rsidRPr="006F6800">
        <w:rPr>
          <w:rFonts w:ascii="Times New Roman" w:hAnsi="Times New Roman" w:cs="Times New Roman"/>
          <w:sz w:val="24"/>
          <w:szCs w:val="24"/>
        </w:rPr>
        <w:t xml:space="preserve"> Prezenta Anexă stabilește:</w:t>
      </w:r>
    </w:p>
    <w:p w14:paraId="3709B57D" w14:textId="77777777" w:rsidR="00534116" w:rsidRPr="006F6800" w:rsidRDefault="00534116" w:rsidP="006F6800">
      <w:pPr>
        <w:ind w:right="-1" w:firstLine="709"/>
        <w:jc w:val="both"/>
        <w:rPr>
          <w:rFonts w:ascii="Times New Roman" w:hAnsi="Times New Roman" w:cs="Times New Roman"/>
          <w:bCs/>
          <w:sz w:val="24"/>
          <w:szCs w:val="24"/>
        </w:rPr>
      </w:pPr>
      <w:r w:rsidRPr="006F6800">
        <w:rPr>
          <w:rFonts w:ascii="Times New Roman" w:hAnsi="Times New Roman" w:cs="Times New Roman"/>
          <w:sz w:val="24"/>
          <w:szCs w:val="24"/>
        </w:rPr>
        <w:t>1.1. sistemul european de clasificare în funcție de risc (</w:t>
      </w:r>
      <w:r w:rsidRPr="006F6800">
        <w:rPr>
          <w:rFonts w:ascii="Times New Roman" w:hAnsi="Times New Roman" w:cs="Times New Roman"/>
          <w:i/>
          <w:sz w:val="24"/>
          <w:szCs w:val="24"/>
        </w:rPr>
        <w:t>în continuare ERCS)</w:t>
      </w:r>
      <w:r w:rsidRPr="006F6800">
        <w:rPr>
          <w:rFonts w:ascii="Times New Roman" w:hAnsi="Times New Roman" w:cs="Times New Roman"/>
          <w:sz w:val="24"/>
          <w:szCs w:val="24"/>
        </w:rPr>
        <w:t xml:space="preserve"> pentru determinarea riscului pentru siguranță al unui eveniment;</w:t>
      </w:r>
    </w:p>
    <w:p w14:paraId="0A843C7A" w14:textId="77777777" w:rsidR="00534116" w:rsidRPr="006F6800" w:rsidRDefault="00534116" w:rsidP="006F6800">
      <w:pPr>
        <w:ind w:right="-1" w:firstLine="709"/>
        <w:jc w:val="both"/>
        <w:rPr>
          <w:rFonts w:ascii="Times New Roman" w:hAnsi="Times New Roman" w:cs="Times New Roman"/>
          <w:bCs/>
          <w:sz w:val="24"/>
          <w:szCs w:val="24"/>
        </w:rPr>
      </w:pPr>
      <w:r w:rsidRPr="006F6800">
        <w:rPr>
          <w:rFonts w:ascii="Times New Roman" w:hAnsi="Times New Roman" w:cs="Times New Roman"/>
          <w:sz w:val="24"/>
          <w:szCs w:val="24"/>
        </w:rPr>
        <w:t>1.2.  modalitățile de punere în aplicare a sistemului  european de clasificare în funcție de risc.</w:t>
      </w:r>
    </w:p>
    <w:p w14:paraId="368B3ABD" w14:textId="77777777" w:rsidR="00534116" w:rsidRPr="006F6800" w:rsidRDefault="00534116" w:rsidP="006F6800">
      <w:pPr>
        <w:ind w:right="-1" w:firstLine="709"/>
        <w:jc w:val="both"/>
        <w:rPr>
          <w:rFonts w:ascii="Times New Roman" w:hAnsi="Times New Roman" w:cs="Times New Roman"/>
          <w:sz w:val="24"/>
          <w:szCs w:val="24"/>
        </w:rPr>
      </w:pPr>
      <w:bookmarkStart w:id="0" w:name="_Hlk203566830"/>
      <w:r w:rsidRPr="006F6800">
        <w:rPr>
          <w:rFonts w:ascii="Times New Roman" w:hAnsi="Times New Roman" w:cs="Times New Roman"/>
          <w:b/>
          <w:bCs/>
          <w:sz w:val="24"/>
          <w:szCs w:val="24"/>
        </w:rPr>
        <w:t>2.</w:t>
      </w:r>
      <w:r w:rsidRPr="006F6800">
        <w:rPr>
          <w:rFonts w:ascii="Times New Roman" w:hAnsi="Times New Roman" w:cs="Times New Roman"/>
          <w:sz w:val="24"/>
          <w:szCs w:val="24"/>
        </w:rPr>
        <w:t xml:space="preserve">   ERCS este prevăzut în Apendicele nr.1 la prezenta </w:t>
      </w:r>
      <w:bookmarkEnd w:id="0"/>
      <w:r w:rsidRPr="006F6800">
        <w:rPr>
          <w:rFonts w:ascii="Times New Roman" w:hAnsi="Times New Roman" w:cs="Times New Roman"/>
          <w:sz w:val="24"/>
          <w:szCs w:val="24"/>
        </w:rPr>
        <w:t>Anexă.</w:t>
      </w:r>
    </w:p>
    <w:p w14:paraId="1659251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2.1. ERCS tratează riscul pentru siguranță al unui eveniment și nu rezultatul efectiv al acestuia. Evaluarea fiecărui eveniment determină cel mai grav rezultat de accident probabil care ar fi putut să survină în urma evenimentului, precum și cât de aproape de rezultatul de accident respectiv s-a aflat evenimentul;</w:t>
      </w:r>
    </w:p>
    <w:p w14:paraId="74F11203"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2.2. ERCS se bazează pe matricea ERCS alcătuită din următoarele două variabile:</w:t>
      </w:r>
    </w:p>
    <w:p w14:paraId="5F4CE670"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2.2.1. gravitatea: identificarea celui mai grav rezultat de accident probabil care ar fi survenit dacă evenimentul evaluat s-ar fi transformat într-un accident;</w:t>
      </w:r>
    </w:p>
    <w:p w14:paraId="24313F84"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2.2.2. probabilitatea: identificarea probabilității ca evenimentul evaluat să se transforme în cel mai grav rezultat de accident probabil, menționat la sbp. 2.2.1.</w:t>
      </w:r>
    </w:p>
    <w:p w14:paraId="10030C01"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3.</w:t>
      </w:r>
      <w:r w:rsidRPr="006F6800">
        <w:rPr>
          <w:rFonts w:ascii="Times New Roman" w:hAnsi="Times New Roman" w:cs="Times New Roman"/>
          <w:color w:val="333333"/>
          <w:sz w:val="24"/>
          <w:szCs w:val="24"/>
          <w:shd w:val="clear" w:color="auto" w:fill="FFFFFF"/>
        </w:rPr>
        <w:t xml:space="preserve"> Autoritatea administrativă de implementare și realizare a politicilor în domeniul aviației civile, </w:t>
      </w:r>
      <w:r w:rsidRPr="006F6800">
        <w:rPr>
          <w:rFonts w:ascii="Times New Roman" w:hAnsi="Times New Roman" w:cs="Times New Roman"/>
          <w:sz w:val="24"/>
          <w:szCs w:val="24"/>
        </w:rPr>
        <w:t xml:space="preserve">Autoritatea Aeronautică Civilă </w:t>
      </w:r>
      <w:r w:rsidRPr="006F6800">
        <w:rPr>
          <w:rFonts w:ascii="Times New Roman" w:hAnsi="Times New Roman" w:cs="Times New Roman"/>
          <w:i/>
          <w:sz w:val="24"/>
          <w:szCs w:val="24"/>
        </w:rPr>
        <w:t>(în continuare AAC)</w:t>
      </w:r>
      <w:r w:rsidRPr="006F6800">
        <w:rPr>
          <w:rFonts w:ascii="Times New Roman" w:hAnsi="Times New Roman" w:cs="Times New Roman"/>
          <w:sz w:val="24"/>
          <w:szCs w:val="24"/>
        </w:rPr>
        <w:t xml:space="preserve"> revizuiește și, dacă este necesar, modifică și aprobă clasificarea în funcție de riscul de siguranță, cuprinsă în raportul de eveniment, în conformitate cu ERCS, astfel cum este prevăzut în prezenta Anexă.</w:t>
      </w:r>
    </w:p>
    <w:p w14:paraId="210B7FB7"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4.</w:t>
      </w:r>
      <w:r w:rsidRPr="006F6800">
        <w:rPr>
          <w:rFonts w:ascii="Times New Roman" w:hAnsi="Times New Roman" w:cs="Times New Roman"/>
          <w:sz w:val="24"/>
          <w:szCs w:val="24"/>
        </w:rPr>
        <w:t> Fără a aduce atingere punctul 3, AAC utilizează procedura de conversie directă prevăzută în Apendicele nr. 2 la prezenta Anexă, atunci când convertește clasificarea în funcție de riscul la adresa siguranței, determinată prin metodologiile ARMS/ERC 4x4 sau RAT „ATM global”. Pentru clasificările riscurilor la adresa siguranței determinate prin alte metodologii, AAC poate utiliza procedura de conversie manuală prevăzută la punctul 2 din Apendicele nr. 2 la prezenta Anexă sau alte proceduri de conversie, după caz, atâta vreme cât se realizează o clasificare ERCS echivalentă.</w:t>
      </w:r>
    </w:p>
    <w:p w14:paraId="1E679453" w14:textId="77777777" w:rsidR="00534116" w:rsidRPr="006F6800" w:rsidRDefault="00534116" w:rsidP="006F6800">
      <w:pPr>
        <w:tabs>
          <w:tab w:val="left" w:pos="9314"/>
        </w:tabs>
        <w:ind w:right="-1"/>
        <w:rPr>
          <w:rFonts w:ascii="Times New Roman" w:hAnsi="Times New Roman" w:cs="Times New Roman"/>
          <w:sz w:val="24"/>
          <w:szCs w:val="24"/>
        </w:rPr>
      </w:pPr>
    </w:p>
    <w:p w14:paraId="06B1EA1B" w14:textId="77777777" w:rsidR="00534116" w:rsidRPr="006F6800" w:rsidRDefault="00534116" w:rsidP="006F6800">
      <w:pPr>
        <w:tabs>
          <w:tab w:val="left" w:pos="9314"/>
        </w:tabs>
        <w:ind w:right="-1" w:firstLine="709"/>
        <w:rPr>
          <w:rFonts w:ascii="Times New Roman" w:hAnsi="Times New Roman" w:cs="Times New Roman"/>
          <w:sz w:val="24"/>
          <w:szCs w:val="24"/>
        </w:rPr>
      </w:pPr>
    </w:p>
    <w:p w14:paraId="726EB8E4" w14:textId="77777777" w:rsidR="00534116" w:rsidRPr="006F6800" w:rsidRDefault="00534116" w:rsidP="006F6800">
      <w:pPr>
        <w:tabs>
          <w:tab w:val="left" w:pos="9314"/>
        </w:tabs>
        <w:ind w:right="-1" w:firstLine="709"/>
        <w:rPr>
          <w:rFonts w:ascii="Times New Roman" w:hAnsi="Times New Roman" w:cs="Times New Roman"/>
          <w:sz w:val="24"/>
          <w:szCs w:val="24"/>
        </w:rPr>
      </w:pPr>
    </w:p>
    <w:p w14:paraId="5A815B6A"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2F42CF36"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84F61A5"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FD7A92F"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05519CA3"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4B3ED880"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57498BF6"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5C84B24"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760F29D"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2E836A77"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1FBF9DD5"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217A4201"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21276C62"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3D52FDB2"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0182E556"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1CB7EDAE" w14:textId="33DB5CC6" w:rsidR="00534116" w:rsidRPr="006F6800" w:rsidRDefault="00534116" w:rsidP="006F6800">
      <w:pPr>
        <w:tabs>
          <w:tab w:val="left" w:pos="9314"/>
        </w:tabs>
        <w:ind w:right="-1" w:firstLine="709"/>
        <w:jc w:val="right"/>
        <w:rPr>
          <w:rFonts w:ascii="Times New Roman" w:hAnsi="Times New Roman" w:cs="Times New Roman"/>
          <w:iCs/>
          <w:sz w:val="24"/>
          <w:szCs w:val="24"/>
        </w:rPr>
      </w:pPr>
      <w:r w:rsidRPr="006F6800">
        <w:rPr>
          <w:rFonts w:ascii="Times New Roman" w:hAnsi="Times New Roman" w:cs="Times New Roman"/>
          <w:iCs/>
          <w:sz w:val="24"/>
          <w:szCs w:val="24"/>
        </w:rPr>
        <w:lastRenderedPageBreak/>
        <w:t>Apendicele nr. 1</w:t>
      </w:r>
    </w:p>
    <w:p w14:paraId="5725E096" w14:textId="77777777" w:rsidR="00534116" w:rsidRPr="006F6800" w:rsidRDefault="00534116" w:rsidP="006F6800">
      <w:pPr>
        <w:ind w:right="-1" w:firstLine="709"/>
        <w:jc w:val="right"/>
        <w:rPr>
          <w:rFonts w:ascii="Times New Roman" w:hAnsi="Times New Roman" w:cs="Times New Roman"/>
          <w:iCs/>
          <w:sz w:val="24"/>
          <w:szCs w:val="24"/>
          <w:vertAlign w:val="superscript"/>
        </w:rPr>
      </w:pPr>
      <w:r w:rsidRPr="006F6800">
        <w:rPr>
          <w:rFonts w:ascii="Times New Roman" w:hAnsi="Times New Roman" w:cs="Times New Roman"/>
          <w:iCs/>
          <w:sz w:val="24"/>
          <w:szCs w:val="24"/>
        </w:rPr>
        <w:t>la Anexa nr. 9</w:t>
      </w:r>
      <w:r w:rsidRPr="006F6800">
        <w:rPr>
          <w:rFonts w:ascii="Times New Roman" w:hAnsi="Times New Roman" w:cs="Times New Roman"/>
          <w:iCs/>
          <w:sz w:val="24"/>
          <w:szCs w:val="24"/>
          <w:vertAlign w:val="superscript"/>
        </w:rPr>
        <w:t>1</w:t>
      </w:r>
    </w:p>
    <w:p w14:paraId="6325B30E" w14:textId="77777777" w:rsidR="00534116" w:rsidRPr="006F6800" w:rsidRDefault="00534116" w:rsidP="006F6800">
      <w:pPr>
        <w:ind w:right="-1" w:firstLine="709"/>
        <w:jc w:val="right"/>
        <w:rPr>
          <w:rFonts w:ascii="Times New Roman" w:eastAsia="Algerian" w:hAnsi="Times New Roman" w:cs="Times New Roman"/>
          <w:iCs/>
          <w:color w:val="000000" w:themeColor="text1"/>
          <w:sz w:val="24"/>
          <w:szCs w:val="24"/>
        </w:rPr>
      </w:pPr>
      <w:r w:rsidRPr="006F6800">
        <w:rPr>
          <w:rFonts w:ascii="Times New Roman" w:eastAsia="Algerian" w:hAnsi="Times New Roman" w:cs="Times New Roman"/>
          <w:iCs/>
          <w:color w:val="000000" w:themeColor="text1"/>
          <w:sz w:val="24"/>
          <w:szCs w:val="24"/>
        </w:rPr>
        <w:t xml:space="preserve">la Regulamentul privind raportarea, </w:t>
      </w:r>
    </w:p>
    <w:p w14:paraId="385314C0" w14:textId="77777777" w:rsidR="00534116" w:rsidRPr="006F6800" w:rsidRDefault="00534116" w:rsidP="006F6800">
      <w:pPr>
        <w:ind w:right="-1" w:firstLine="709"/>
        <w:jc w:val="right"/>
        <w:rPr>
          <w:rFonts w:ascii="Times New Roman" w:eastAsia="Algerian" w:hAnsi="Times New Roman" w:cs="Times New Roman"/>
          <w:iCs/>
          <w:color w:val="000000" w:themeColor="text1"/>
          <w:sz w:val="24"/>
          <w:szCs w:val="24"/>
        </w:rPr>
      </w:pPr>
      <w:r w:rsidRPr="006F6800">
        <w:rPr>
          <w:rFonts w:ascii="Times New Roman" w:eastAsia="Algerian" w:hAnsi="Times New Roman" w:cs="Times New Roman"/>
          <w:iCs/>
          <w:color w:val="000000" w:themeColor="text1"/>
          <w:sz w:val="24"/>
          <w:szCs w:val="24"/>
        </w:rPr>
        <w:t>analiza şi acţiunile subsecvente cu</w:t>
      </w:r>
    </w:p>
    <w:p w14:paraId="664FDC78" w14:textId="77777777" w:rsidR="00534116" w:rsidRPr="006F6800" w:rsidRDefault="00534116" w:rsidP="006F6800">
      <w:pPr>
        <w:ind w:right="-1" w:firstLine="709"/>
        <w:jc w:val="right"/>
        <w:rPr>
          <w:rFonts w:ascii="Times New Roman" w:eastAsia="Times New Roman" w:hAnsi="Times New Roman" w:cs="Times New Roman"/>
          <w:bCs/>
          <w:i/>
          <w:sz w:val="24"/>
          <w:szCs w:val="24"/>
        </w:rPr>
      </w:pPr>
      <w:r w:rsidRPr="006F6800">
        <w:rPr>
          <w:rFonts w:ascii="Times New Roman" w:eastAsia="Algerian" w:hAnsi="Times New Roman" w:cs="Times New Roman"/>
          <w:iCs/>
          <w:color w:val="000000" w:themeColor="text1"/>
          <w:sz w:val="24"/>
          <w:szCs w:val="24"/>
        </w:rPr>
        <w:t xml:space="preserve"> privire la evenimentele de aviaţie civilă</w:t>
      </w:r>
    </w:p>
    <w:p w14:paraId="20C9D5D1" w14:textId="77777777" w:rsidR="00534116" w:rsidRPr="006F6800" w:rsidRDefault="00534116" w:rsidP="006F6800">
      <w:pPr>
        <w:ind w:right="-1" w:firstLine="709"/>
        <w:jc w:val="right"/>
        <w:rPr>
          <w:rFonts w:ascii="Times New Roman" w:hAnsi="Times New Roman" w:cs="Times New Roman"/>
          <w:sz w:val="24"/>
          <w:szCs w:val="24"/>
          <w:vertAlign w:val="superscript"/>
        </w:rPr>
      </w:pPr>
    </w:p>
    <w:p w14:paraId="7A1C6DD1" w14:textId="77777777" w:rsidR="00534116" w:rsidRPr="006F6800" w:rsidRDefault="00534116" w:rsidP="006F6800">
      <w:pPr>
        <w:ind w:right="-1" w:firstLine="709"/>
        <w:jc w:val="center"/>
        <w:rPr>
          <w:rFonts w:ascii="Times New Roman" w:hAnsi="Times New Roman" w:cs="Times New Roman"/>
          <w:b/>
          <w:bCs/>
          <w:sz w:val="24"/>
          <w:szCs w:val="24"/>
        </w:rPr>
      </w:pPr>
    </w:p>
    <w:p w14:paraId="2FADE24A" w14:textId="77777777" w:rsidR="00534116" w:rsidRPr="006F6800" w:rsidRDefault="00534116" w:rsidP="006F6800">
      <w:pPr>
        <w:ind w:right="-1" w:firstLine="709"/>
        <w:jc w:val="center"/>
        <w:rPr>
          <w:rFonts w:ascii="Times New Roman" w:hAnsi="Times New Roman" w:cs="Times New Roman"/>
          <w:b/>
          <w:bCs/>
          <w:sz w:val="24"/>
          <w:szCs w:val="24"/>
        </w:rPr>
      </w:pPr>
      <w:r w:rsidRPr="006F6800">
        <w:rPr>
          <w:rFonts w:ascii="Times New Roman" w:hAnsi="Times New Roman" w:cs="Times New Roman"/>
          <w:b/>
          <w:bCs/>
          <w:sz w:val="24"/>
          <w:szCs w:val="24"/>
        </w:rPr>
        <w:t>Etapele Sistemului european de clasificare în funcție de risc</w:t>
      </w:r>
    </w:p>
    <w:p w14:paraId="3CCEF1FF" w14:textId="77777777" w:rsidR="00534116" w:rsidRPr="006F6800" w:rsidRDefault="00534116" w:rsidP="006F6800">
      <w:pPr>
        <w:ind w:right="-1" w:firstLine="709"/>
        <w:jc w:val="both"/>
        <w:rPr>
          <w:rFonts w:ascii="Times New Roman" w:hAnsi="Times New Roman" w:cs="Times New Roman"/>
          <w:sz w:val="24"/>
          <w:szCs w:val="24"/>
        </w:rPr>
      </w:pPr>
    </w:p>
    <w:p w14:paraId="6A26978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ERCS constă în următoarele etape:</w:t>
      </w:r>
    </w:p>
    <w:p w14:paraId="65910D35"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 xml:space="preserve">ETAPA 1: </w:t>
      </w:r>
      <w:r w:rsidRPr="006F6800">
        <w:rPr>
          <w:rFonts w:ascii="Times New Roman" w:hAnsi="Times New Roman" w:cs="Times New Roman"/>
          <w:sz w:val="24"/>
          <w:szCs w:val="24"/>
        </w:rPr>
        <w:t>Determinarea valorilor celor două variabile: gravitatea și probabilitatea.</w:t>
      </w:r>
    </w:p>
    <w:p w14:paraId="08B4964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xml:space="preserve">ETAPA  2: </w:t>
      </w:r>
      <w:r w:rsidRPr="006F6800">
        <w:rPr>
          <w:rFonts w:ascii="Times New Roman" w:hAnsi="Times New Roman" w:cs="Times New Roman"/>
          <w:sz w:val="24"/>
          <w:szCs w:val="24"/>
        </w:rPr>
        <w:t>Calcularea punctajului privind riscul pentru siguranță în cadrul matricei ERCS pe baza celor două valori determinate ale variabilelor.</w:t>
      </w:r>
    </w:p>
    <w:p w14:paraId="23D47F27"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ETAPA 1: DETERMINAREA VALORILOR VARIABILELOR</w:t>
      </w:r>
    </w:p>
    <w:p w14:paraId="76863CF4"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1. Gravitatea rezultatului de accident potențial</w:t>
      </w:r>
    </w:p>
    <w:p w14:paraId="45F1D433"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1.1. Identificare</w:t>
      </w:r>
    </w:p>
    <w:p w14:paraId="19D2A249"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Identificarea gravității rezultatului de accident potențial trebuie să urmeze aceste două etape:</w:t>
      </w:r>
    </w:p>
    <w:p w14:paraId="40A87C1F"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(a) determinarea tipului de accident cel mai probabil la care ar fi putut ajunge evenimentul evaluat (așa-numitul „domeniu de risc principal”);</w:t>
      </w:r>
    </w:p>
    <w:p w14:paraId="1AAE948B"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(b) determinarea categoriei potențialei pierderi de vieți omenești pe baza dimensiunii aeronavei și a proximității de zonele populate sau de risc ridicat.</w:t>
      </w:r>
    </w:p>
    <w:p w14:paraId="36A01483"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Există următoarele domenii de risc:</w:t>
      </w:r>
    </w:p>
    <w:p w14:paraId="4635556B"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a) coliziune în aer: o coliziune între aeronave, în timp ce cele ambele aeronave se află în aer, sau o coliziune între aeronave și alte obiecte aflate în aer (cu excepția păsărilor și a faunei sălbatice);</w:t>
      </w:r>
    </w:p>
    <w:p w14:paraId="071AC24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b) pierderea atitudinii normale de zbor: o stare nedorită a aeronavei caracterizată prin abateri neintenționate de la parametrii normali în timpul operațiunilor, care ar putea duce în cele din urmă la un impact necontrolat cu solul;</w:t>
      </w:r>
    </w:p>
    <w:p w14:paraId="289C513F"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c) coliziune pe pistă: o coliziune între o aeronavă și un alt obiect (alte aeronave, vehicule etc.) sau o persoană, care are loc pe o pistă a unui aerodrom sau a altei zone de aterizare prestabilite. Aceasta nu include coliziuni cu păsări sau cu specii ale faunei sălbatice;</w:t>
      </w:r>
    </w:p>
    <w:p w14:paraId="0FE5B8D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d) ieșire de pe pistă: un eveniment în cadrul căruia o aeronavă părăsește pista sau suprafața de mișcare a unui aerodrom ori suprafața de aterizare a oricărei alte zone de aterizare prestabilite, fără a decola. Aceasta include aterizări verticale cu impact ridicat pentru giravioane sau aeronave cu decolare și aterizare verticală și pentru baloane sau dirijabile;</w:t>
      </w:r>
    </w:p>
    <w:p w14:paraId="7AF14A4D"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e) incendiu, fum și presurizare: un eveniment care implică situații de incendiu, fum sau presurizare ce pot deveni incompatibile cu viața umană. Aceasta include evenimente care implică un incendiu, fum sau emanații care afectează orice parte a unei aeronave, în zbor sau la sol, și care nu reprezintă rezultatul unui impact sau al unor acte răuvoitoare;</w:t>
      </w:r>
    </w:p>
    <w:p w14:paraId="15BC5447"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f) avariere la sol: avariere a aeronavei produsă de operarea aeronavei la sol pe orice alt teren decât o pistă sau o zonă de aterizare prestabilită, precum și avarierea survenită în timpul întreținerii;</w:t>
      </w:r>
    </w:p>
    <w:p w14:paraId="74F9D546"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g) coliziune cu obstacole în timpul zborului: o coliziune între o aeronavă aflată în aer și obstacole care se ridică de la suprafața terestră. Printre obstacole se numără construcțiile înalte, copacii, cablurile electrice, cablurile de telegraf și antenele, precum și obiectele captive;</w:t>
      </w:r>
    </w:p>
    <w:p w14:paraId="2F77C216"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h) coliziune cu solul: un eveniment în cadrul căruia o aeronavă aflată în aer intră în coliziune cu solul, fără o indicație a faptului că echipajul de zbor nu a fost în măsură să controleze aeronava. Aceasta include situații în care echipajul de zbor este afectat de iluzii vizuale sau de un mediu vizual degradat;</w:t>
      </w:r>
    </w:p>
    <w:p w14:paraId="205D8FF3"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i) alte vătămări: un eveniment în cadrul căruia au fost cauzate vătămări mortale sau nemortale și care nu poate fi atribuit niciunui alt domeniu de risc principal;</w:t>
      </w:r>
    </w:p>
    <w:p w14:paraId="40681B78"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xml:space="preserve">j) securitate: un act de intervenție ilicită contra aviației civile. Aceasta include toate incidentele și </w:t>
      </w:r>
      <w:r w:rsidRPr="006F6800">
        <w:rPr>
          <w:rFonts w:ascii="Times New Roman" w:hAnsi="Times New Roman" w:cs="Times New Roman"/>
          <w:sz w:val="24"/>
          <w:szCs w:val="24"/>
        </w:rPr>
        <w:lastRenderedPageBreak/>
        <w:t>încălcările legate de supraveghere și de protecție, de controlul accesului, de controlul de securitate, de implementarea controalelor de securitate și orice alte acte menite să producă, în scopuri răuvoitoare sau în mod iresponsabil, distrugerea aeronavelor și a bunurilor, punând în pericol aviația civilă și instalațiile aferente sau conducând la intervenții ilicite în legătură cu acestea. Aici sunt incluse atât evenimentele de securitate fizică, cât și cele de securitate cibernetică.</w:t>
      </w:r>
    </w:p>
    <w:p w14:paraId="1A3C57C7"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Potențiala pierdere de vieți omenești se clasifică după cum urmează:</w:t>
      </w:r>
    </w:p>
    <w:p w14:paraId="1800245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(a) mai mult de 100 de decese posibile – în cazul în care evenimentul evaluat implică cel puțin oricare dintre următoarele:</w:t>
      </w:r>
    </w:p>
    <w:p w14:paraId="587FF108"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 aeronavă certificată de mari dimensiuni care poate transporta peste 100 de pasageri;</w:t>
      </w:r>
    </w:p>
    <w:p w14:paraId="3F4E934D"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 aeronavă pentru marfă, de dimensiuni echivalente;</w:t>
      </w:r>
    </w:p>
    <w:p w14:paraId="4475D12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 aeronavă de orice tip într-o zonă dens populată sau într-o zonă de risc ridicat sau ambele;</w:t>
      </w:r>
    </w:p>
    <w:p w14:paraId="76E6B43D"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orice situație care implică orice tip de aeronavă și în care pot fi posibile peste 100 de decese;</w:t>
      </w:r>
    </w:p>
    <w:p w14:paraId="34B3530C"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(b) între 20 și 100 de decese posibile – în cazul în care evenimentul evaluat implică cel puțin oricare dintre următoarele:</w:t>
      </w:r>
    </w:p>
    <w:p w14:paraId="5E85D49D"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 aeronavă certificată de dimensiuni medii care poate transporta 20-100 de pasageri sau o aeronavă pentru marfă de dimensiuni echivalente;</w:t>
      </w:r>
    </w:p>
    <w:p w14:paraId="4F3A8265"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orice situație în care pot fi posibile între 20 și 100 de decese.</w:t>
      </w:r>
    </w:p>
    <w:p w14:paraId="02A619AD"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(c) între 2 și 19 decese posibile – în cazul în care evenimentul evaluat implică cel puțin oricare dintre următoarele:</w:t>
      </w:r>
    </w:p>
    <w:p w14:paraId="3933A3D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 aeronavă certificată de mici dimensiuni care poate transporta maximum 19 pasageri;</w:t>
      </w:r>
    </w:p>
    <w:p w14:paraId="0D2240F6"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 aeronavă pentru marfă, de dimensiuni echivalente;</w:t>
      </w:r>
    </w:p>
    <w:p w14:paraId="7622E884"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orice situație în care pot fi posibile între 2 și 19 decese;</w:t>
      </w:r>
    </w:p>
    <w:p w14:paraId="736CB410"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(d) 1 deces posibil – în cazul în care evenimentul evaluat implică cel puțin oricare dintre următoarele:</w:t>
      </w:r>
    </w:p>
    <w:p w14:paraId="2C44CFA3"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xml:space="preserve"> - o aeronavă necertificată, și anume o aeronavă care nu face obiectul cerințelor de certificare ale Agenției Uniunii Europene pentru Siguranța Aviației;</w:t>
      </w:r>
    </w:p>
    <w:p w14:paraId="66DE6393"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orice situație în care poate fi posibil un singur deces;</w:t>
      </w:r>
    </w:p>
    <w:p w14:paraId="768CA0A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(e) 0 decese posibile – în cazul în care evenimentul evaluat implică doar vătămări corporale, indiferent de numărul de vătămări ușoare și grave, atât timp cât nu există decese.</w:t>
      </w:r>
    </w:p>
    <w:p w14:paraId="7358135F" w14:textId="15939BE3" w:rsidR="00534116" w:rsidRPr="006F6800" w:rsidRDefault="006F38D8"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1</w:t>
      </w:r>
      <w:r w:rsidR="00534116" w:rsidRPr="006F6800">
        <w:rPr>
          <w:rFonts w:ascii="Times New Roman" w:hAnsi="Times New Roman" w:cs="Times New Roman"/>
          <w:b/>
          <w:bCs/>
          <w:sz w:val="24"/>
          <w:szCs w:val="24"/>
        </w:rPr>
        <w:t>.</w:t>
      </w:r>
      <w:r w:rsidRPr="006F6800">
        <w:rPr>
          <w:rFonts w:ascii="Times New Roman" w:hAnsi="Times New Roman" w:cs="Times New Roman"/>
          <w:b/>
          <w:bCs/>
          <w:sz w:val="24"/>
          <w:szCs w:val="24"/>
        </w:rPr>
        <w:t>2</w:t>
      </w:r>
      <w:r w:rsidR="00534116" w:rsidRPr="006F6800">
        <w:rPr>
          <w:rFonts w:ascii="Times New Roman" w:hAnsi="Times New Roman" w:cs="Times New Roman"/>
          <w:b/>
          <w:bCs/>
          <w:sz w:val="24"/>
          <w:szCs w:val="24"/>
        </w:rPr>
        <w:t>. Determinare</w:t>
      </w:r>
    </w:p>
    <w:p w14:paraId="413FDF5F"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„A”</w:t>
      </w:r>
      <w:r w:rsidRPr="006F6800">
        <w:rPr>
          <w:rFonts w:ascii="Times New Roman" w:hAnsi="Times New Roman" w:cs="Times New Roman"/>
          <w:sz w:val="24"/>
          <w:szCs w:val="24"/>
        </w:rPr>
        <w:t> – nicio probabilitate de producere a unui accident;</w:t>
      </w:r>
    </w:p>
    <w:p w14:paraId="4A690532"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„E”</w:t>
      </w:r>
      <w:r w:rsidRPr="006F6800">
        <w:rPr>
          <w:rFonts w:ascii="Times New Roman" w:hAnsi="Times New Roman" w:cs="Times New Roman"/>
          <w:sz w:val="24"/>
          <w:szCs w:val="24"/>
        </w:rPr>
        <w:t> – un accident care implică vătămări ușoare și grave (care nu afectează calitatea vieții) sau avarieri minore ale aeronavei;</w:t>
      </w:r>
    </w:p>
    <w:p w14:paraId="39F92628"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„I”</w:t>
      </w:r>
      <w:r w:rsidRPr="006F6800">
        <w:rPr>
          <w:rFonts w:ascii="Times New Roman" w:hAnsi="Times New Roman" w:cs="Times New Roman"/>
          <w:sz w:val="24"/>
          <w:szCs w:val="24"/>
        </w:rPr>
        <w:t> – un accident care implică un singur deces, o singură vătămare care afectează calitatea vieții sau o singură avariere substanțială a aeronavei;</w:t>
      </w:r>
    </w:p>
    <w:p w14:paraId="2639A1F4"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„M”</w:t>
      </w:r>
      <w:r w:rsidRPr="006F6800">
        <w:rPr>
          <w:rFonts w:ascii="Times New Roman" w:hAnsi="Times New Roman" w:cs="Times New Roman"/>
          <w:sz w:val="24"/>
          <w:szCs w:val="24"/>
        </w:rPr>
        <w:t> – un accident major, cu un nivel limitat de decese, de vătămări care afectează calitatea vieții sau de distrugere a aeronavei;</w:t>
      </w:r>
    </w:p>
    <w:p w14:paraId="0C06C3D1"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„S”</w:t>
      </w:r>
      <w:r w:rsidRPr="006F6800">
        <w:rPr>
          <w:rFonts w:ascii="Times New Roman" w:hAnsi="Times New Roman" w:cs="Times New Roman"/>
          <w:sz w:val="24"/>
          <w:szCs w:val="24"/>
        </w:rPr>
        <w:t> – un accident semnificativ, cu potențial de decese și de vătămări;</w:t>
      </w:r>
    </w:p>
    <w:p w14:paraId="7A92E8E9" w14:textId="269F1544" w:rsidR="00534116" w:rsidRPr="006F6800" w:rsidRDefault="00E04B12"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xml:space="preserve">- </w:t>
      </w:r>
      <w:r w:rsidR="00534116" w:rsidRPr="006F6800">
        <w:rPr>
          <w:rFonts w:ascii="Times New Roman" w:hAnsi="Times New Roman" w:cs="Times New Roman"/>
          <w:b/>
          <w:bCs/>
          <w:sz w:val="24"/>
          <w:szCs w:val="24"/>
        </w:rPr>
        <w:t>„X”</w:t>
      </w:r>
      <w:r w:rsidR="00534116" w:rsidRPr="006F6800">
        <w:rPr>
          <w:rFonts w:ascii="Times New Roman" w:hAnsi="Times New Roman" w:cs="Times New Roman"/>
          <w:sz w:val="24"/>
          <w:szCs w:val="24"/>
        </w:rPr>
        <w:t> – un accident extrem catastrofic, cu potențialul de a cauza un număr semnificativ de decese.</w:t>
      </w:r>
    </w:p>
    <w:p w14:paraId="63A3B88F"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Punctajul de gravitate se calculează combinând domeniul de risc principal și pierderea potențială de vieți omenești, astfel cum se arată în tabelul de mai jos:</w:t>
      </w:r>
    </w:p>
    <w:p w14:paraId="1AEC336C" w14:textId="77777777" w:rsidR="00534116" w:rsidRPr="006F6800" w:rsidRDefault="00534116" w:rsidP="006F6800">
      <w:pPr>
        <w:ind w:right="-1" w:firstLine="709"/>
        <w:jc w:val="both"/>
        <w:rPr>
          <w:rFonts w:ascii="Times New Roman" w:hAnsi="Times New Roman" w:cs="Times New Roman"/>
          <w:sz w:val="24"/>
          <w:szCs w:val="24"/>
        </w:rPr>
      </w:pPr>
    </w:p>
    <w:tbl>
      <w:tblPr>
        <w:tblW w:w="5000" w:type="pct"/>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589"/>
        <w:gridCol w:w="4035"/>
        <w:gridCol w:w="2424"/>
      </w:tblGrid>
      <w:tr w:rsidR="00534116" w:rsidRPr="006F6800" w14:paraId="32C3D329" w14:textId="77777777" w:rsidTr="00534116">
        <w:tc>
          <w:tcPr>
            <w:tcW w:w="1786" w:type="pct"/>
            <w:tcBorders>
              <w:top w:val="single" w:sz="6" w:space="0" w:color="000000"/>
              <w:left w:val="single" w:sz="6" w:space="0" w:color="000000"/>
              <w:bottom w:val="single" w:sz="6" w:space="0" w:color="000000"/>
              <w:right w:val="single" w:sz="6" w:space="0" w:color="000000"/>
            </w:tcBorders>
            <w:shd w:val="clear" w:color="auto" w:fill="FFFFFF"/>
            <w:hideMark/>
          </w:tcPr>
          <w:p w14:paraId="727D782B" w14:textId="77777777" w:rsidR="00534116" w:rsidRPr="006F6800" w:rsidRDefault="00534116" w:rsidP="006F6800">
            <w:pPr>
              <w:ind w:right="-1"/>
              <w:jc w:val="center"/>
              <w:rPr>
                <w:rFonts w:ascii="Times New Roman" w:hAnsi="Times New Roman" w:cs="Times New Roman"/>
                <w:b/>
                <w:bCs/>
                <w:sz w:val="24"/>
                <w:szCs w:val="24"/>
              </w:rPr>
            </w:pPr>
            <w:r w:rsidRPr="006F6800">
              <w:rPr>
                <w:rFonts w:ascii="Times New Roman" w:hAnsi="Times New Roman" w:cs="Times New Roman"/>
                <w:b/>
                <w:bCs/>
                <w:sz w:val="24"/>
                <w:szCs w:val="24"/>
              </w:rPr>
              <w:t>DOMENIU DE RISC PRINCIPAL</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27803D4" w14:textId="77777777" w:rsidR="00534116" w:rsidRPr="006F6800" w:rsidRDefault="00534116" w:rsidP="006F6800">
            <w:pPr>
              <w:ind w:right="-1"/>
              <w:jc w:val="center"/>
              <w:rPr>
                <w:rFonts w:ascii="Times New Roman" w:hAnsi="Times New Roman" w:cs="Times New Roman"/>
                <w:b/>
                <w:bCs/>
                <w:sz w:val="24"/>
                <w:szCs w:val="24"/>
              </w:rPr>
            </w:pPr>
            <w:r w:rsidRPr="006F6800">
              <w:rPr>
                <w:rFonts w:ascii="Times New Roman" w:hAnsi="Times New Roman" w:cs="Times New Roman"/>
                <w:b/>
                <w:bCs/>
                <w:sz w:val="24"/>
                <w:szCs w:val="24"/>
              </w:rPr>
              <w:t>CATEGORIE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137BFBE" w14:textId="77777777" w:rsidR="00534116" w:rsidRPr="006F6800" w:rsidRDefault="00534116" w:rsidP="006F6800">
            <w:pPr>
              <w:ind w:right="-1"/>
              <w:jc w:val="center"/>
              <w:rPr>
                <w:rFonts w:ascii="Times New Roman" w:hAnsi="Times New Roman" w:cs="Times New Roman"/>
                <w:b/>
                <w:bCs/>
                <w:sz w:val="24"/>
                <w:szCs w:val="24"/>
              </w:rPr>
            </w:pPr>
            <w:r w:rsidRPr="006F6800">
              <w:rPr>
                <w:rFonts w:ascii="Times New Roman" w:hAnsi="Times New Roman" w:cs="Times New Roman"/>
                <w:b/>
                <w:bCs/>
                <w:sz w:val="24"/>
                <w:szCs w:val="24"/>
              </w:rPr>
              <w:t>PUNCTAJ GRAVITATE</w:t>
            </w:r>
          </w:p>
        </w:tc>
      </w:tr>
      <w:tr w:rsidR="00534116" w:rsidRPr="006F6800" w14:paraId="5210A466"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889E65"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Coliziune în aer</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D313BA5"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4C9F034"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2F4A975D"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FCF05"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3935D739"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18E6877"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76125A6D"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DA778"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4A2E9AE2"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8F8A657"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0CDEC3E9"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40D7F"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37268B64"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CBE5564"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27892A89"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0E684E"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Pierderea atitudinii normale de zbor</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8C46E0D"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2BEA9E9"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014BD81A"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189E8"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0B8475B5"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3A44DDC"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508328FE"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E1591"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27E3764"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F1FC2DC"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4D5A42AF"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88585"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71B712B5"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755B054"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23F46FDF"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BD07F2"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Coliziune pe pistă</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0E6969E"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92D2516"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2A208D96"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47E4C"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71E23F7"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3A56AC66"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70E1D46B"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486BD"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0311D2EF"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DD5DF3B"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407A912D"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EF2A0"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46CEB160"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2779422"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0E8227DB"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0475D"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265E875D"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0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37BC6B1"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E</w:t>
            </w:r>
          </w:p>
        </w:tc>
      </w:tr>
      <w:tr w:rsidR="00534116" w:rsidRPr="006F6800" w14:paraId="6198B088"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23FAED6"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Ieșiri de pe pistă</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0231D03"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E1CCAB0"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6501965F"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92F24"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0525AD6"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27386A7"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30284A94"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2B553"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222D976"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DFD796D"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0B8F54F5"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1CC89"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9D06328"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0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A78E8F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E</w:t>
            </w:r>
          </w:p>
        </w:tc>
      </w:tr>
      <w:tr w:rsidR="00534116" w:rsidRPr="006F6800" w14:paraId="41AD15F5"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BAF813"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Incendiu, fum și presurizare</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3CBA5CD"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6A48C75"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353428A7"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02D59"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B4884E6"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81F5608"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719964BC"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86DE7"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376D0B96"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D625D12"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418FEA6D"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A8166"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2202FEB2"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7F1C7E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2AB51324"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211FD4"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Avariere la sol</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6CEE5C1"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A50D982"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5889EE89"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C076B"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05A58EAF"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3B5F77F6"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7DBD25E2"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0D343"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50594D8"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0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22C04B3"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E</w:t>
            </w:r>
          </w:p>
        </w:tc>
      </w:tr>
      <w:tr w:rsidR="00534116" w:rsidRPr="006F6800" w14:paraId="65143D8D"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634DA7"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Coliziune cu obstacole în timpul zborului</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8A6F7ED"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8822D64"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404AA4A7"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A3D76"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664BFA4"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218E65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6B745FDA"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B61EE"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060890FA"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1AE6C10"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7BBBBF07"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E1751"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82178A2"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71DC281"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2D27097C"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9C6C85"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Coliziune cu solul</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47FC299F"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2FD5839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2C85804A"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39FA8"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930C00F"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E44B29F"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65713B32"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75A8C"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0179612A"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2891337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3EEADE6A"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8CB03"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3A910C28"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98C1AB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0992D2F4"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6357DB"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Alte vătămări</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252E541D"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D5D910E"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3D5E2479"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3A0B2"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6628C67F"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553DD50"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45B59CCC"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A0AB3"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9695F94"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A846F7A"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4F997E5E"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D1327"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EE49F3A"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0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43BD48AA"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E</w:t>
            </w:r>
          </w:p>
        </w:tc>
      </w:tr>
      <w:tr w:rsidR="00534116" w:rsidRPr="006F6800" w14:paraId="6A3BE642" w14:textId="77777777" w:rsidTr="00534116">
        <w:tc>
          <w:tcPr>
            <w:tcW w:w="178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91C978"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Securitate</w:t>
            </w: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49EADAF5"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Mai mult de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1DEC517"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X</w:t>
            </w:r>
          </w:p>
        </w:tc>
      </w:tr>
      <w:tr w:rsidR="00534116" w:rsidRPr="006F6800" w14:paraId="0278CE2C"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D6931"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2B92FE8"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20 și 100 de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656F861C"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S</w:t>
            </w:r>
          </w:p>
        </w:tc>
      </w:tr>
      <w:tr w:rsidR="00534116" w:rsidRPr="006F6800" w14:paraId="3C130693"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A13F8"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1F2D14D3"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Între 2 și 19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F849348"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M</w:t>
            </w:r>
          </w:p>
        </w:tc>
      </w:tr>
      <w:tr w:rsidR="00534116" w:rsidRPr="006F6800" w14:paraId="159B3F1D"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011F0"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54ED0A8A"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1 deces posibil</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24BA2E9F"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I</w:t>
            </w:r>
          </w:p>
        </w:tc>
      </w:tr>
      <w:tr w:rsidR="00534116" w:rsidRPr="006F6800" w14:paraId="5D8FA077" w14:textId="77777777" w:rsidTr="00534116">
        <w:tc>
          <w:tcPr>
            <w:tcW w:w="178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0FB98" w14:textId="77777777" w:rsidR="00534116" w:rsidRPr="006F6800" w:rsidRDefault="00534116" w:rsidP="006F6800">
            <w:pPr>
              <w:ind w:right="-1"/>
              <w:rPr>
                <w:rFonts w:ascii="Times New Roman" w:hAnsi="Times New Roman" w:cs="Times New Roman"/>
                <w:sz w:val="24"/>
                <w:szCs w:val="24"/>
              </w:rPr>
            </w:pPr>
          </w:p>
        </w:tc>
        <w:tc>
          <w:tcPr>
            <w:tcW w:w="2008" w:type="pct"/>
            <w:tcBorders>
              <w:top w:val="single" w:sz="6" w:space="0" w:color="000000"/>
              <w:left w:val="single" w:sz="6" w:space="0" w:color="000000"/>
              <w:bottom w:val="single" w:sz="6" w:space="0" w:color="000000"/>
              <w:right w:val="single" w:sz="6" w:space="0" w:color="000000"/>
            </w:tcBorders>
            <w:shd w:val="clear" w:color="auto" w:fill="FFFFFF"/>
            <w:hideMark/>
          </w:tcPr>
          <w:p w14:paraId="0F51020A"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rPr>
              <w:t>0 decese posibile</w:t>
            </w:r>
          </w:p>
        </w:tc>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31C7EB03"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E</w:t>
            </w:r>
          </w:p>
        </w:tc>
      </w:tr>
    </w:tbl>
    <w:p w14:paraId="6A0BCEEB" w14:textId="77777777" w:rsidR="00534116" w:rsidRPr="006F6800" w:rsidRDefault="00534116" w:rsidP="006F6800">
      <w:pPr>
        <w:ind w:right="-1"/>
        <w:jc w:val="both"/>
        <w:rPr>
          <w:rFonts w:ascii="Times New Roman" w:hAnsi="Times New Roman" w:cs="Times New Roman"/>
          <w:sz w:val="24"/>
          <w:szCs w:val="24"/>
        </w:rPr>
      </w:pPr>
    </w:p>
    <w:p w14:paraId="620DF778"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2. Probabilitatea survenirii rezultatului de accident potențial</w:t>
      </w:r>
    </w:p>
    <w:p w14:paraId="1F6BB68C"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Probabilitatea survenirii celui mai grav rezultat de accident probabil se obține utilizând modelul de barieră ERCS definit în secțiunea 2.1.</w:t>
      </w:r>
    </w:p>
    <w:p w14:paraId="75CB5ADA"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2.1.   Modelul de barieră ERCS</w:t>
      </w:r>
    </w:p>
    <w:p w14:paraId="06AF750B"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Scopul modelului de barieră ERCS este acela de a evalua eficacitatea (și anume numărul și puterea) barierelor din sistemul de siguranță prevăzute în tabelul din secțiunea 2.1.1, rămase între evenimentul efectiv și cel mai grav rezultat de accident probabil. În cele din urmă, modelul de barieră ERCS va stabili cât de aproape s-a aflat evenimentul evaluat de producerea accidentului potențial.</w:t>
      </w:r>
    </w:p>
    <w:p w14:paraId="24D483F3"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2.1.1.   Bariere</w:t>
      </w:r>
    </w:p>
    <w:p w14:paraId="56481A99"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xml:space="preserve">Modelul de barieră ERCS constă în opt bariere, ordonate într-o secvență logică și ponderate </w:t>
      </w:r>
      <w:r w:rsidRPr="006F6800">
        <w:rPr>
          <w:rFonts w:ascii="Times New Roman" w:hAnsi="Times New Roman" w:cs="Times New Roman"/>
          <w:sz w:val="24"/>
          <w:szCs w:val="24"/>
        </w:rPr>
        <w:lastRenderedPageBreak/>
        <w:t>conform tabelului următor:</w:t>
      </w:r>
    </w:p>
    <w:p w14:paraId="27314A48" w14:textId="77777777" w:rsidR="00534116" w:rsidRPr="006F6800" w:rsidRDefault="00534116" w:rsidP="006F6800">
      <w:pPr>
        <w:ind w:right="-1" w:firstLine="709"/>
        <w:jc w:val="both"/>
        <w:rPr>
          <w:rFonts w:ascii="Times New Roman" w:hAnsi="Times New Roman" w:cs="Times New Roman"/>
          <w:sz w:val="24"/>
          <w:szCs w:val="24"/>
        </w:rPr>
      </w:pPr>
    </w:p>
    <w:tbl>
      <w:tblPr>
        <w:tblW w:w="5000" w:type="pct"/>
        <w:tblInd w:w="1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93"/>
        <w:gridCol w:w="8171"/>
        <w:gridCol w:w="884"/>
      </w:tblGrid>
      <w:tr w:rsidR="00534116" w:rsidRPr="006F6800" w14:paraId="447BEDE5"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28FB78CF" w14:textId="77777777" w:rsidR="00534116" w:rsidRPr="006F6800" w:rsidRDefault="00534116" w:rsidP="006F6800">
            <w:pPr>
              <w:pStyle w:val="ListParagraph"/>
              <w:tabs>
                <w:tab w:val="left" w:pos="1421"/>
              </w:tabs>
              <w:ind w:right="-1" w:hanging="142"/>
              <w:rPr>
                <w:rFonts w:ascii="Times New Roman" w:hAnsi="Times New Roman" w:cs="Times New Roman"/>
                <w:b/>
                <w:bCs/>
                <w:sz w:val="24"/>
                <w:szCs w:val="24"/>
              </w:rPr>
            </w:pPr>
            <w:r w:rsidRPr="006F6800">
              <w:rPr>
                <w:rFonts w:ascii="Times New Roman" w:hAnsi="Times New Roman" w:cs="Times New Roman"/>
                <w:b/>
                <w:bCs/>
                <w:sz w:val="24"/>
                <w:szCs w:val="24"/>
              </w:rPr>
              <w:t xml:space="preserve">   Nr. barierei</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52567012" w14:textId="77777777" w:rsidR="00534116" w:rsidRPr="006F6800" w:rsidRDefault="00534116" w:rsidP="006F6800">
            <w:pPr>
              <w:pStyle w:val="ListParagraph"/>
              <w:ind w:right="-1" w:firstLine="709"/>
              <w:jc w:val="center"/>
              <w:rPr>
                <w:rFonts w:ascii="Times New Roman" w:hAnsi="Times New Roman" w:cs="Times New Roman"/>
                <w:b/>
                <w:bCs/>
                <w:sz w:val="24"/>
                <w:szCs w:val="24"/>
              </w:rPr>
            </w:pPr>
            <w:r w:rsidRPr="006F6800">
              <w:rPr>
                <w:rFonts w:ascii="Times New Roman" w:hAnsi="Times New Roman" w:cs="Times New Roman"/>
                <w:b/>
                <w:bCs/>
                <w:sz w:val="24"/>
                <w:szCs w:val="24"/>
              </w:rPr>
              <w:t>Bariera</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59163855" w14:textId="77777777" w:rsidR="00534116" w:rsidRPr="006F6800" w:rsidRDefault="00534116" w:rsidP="006F6800">
            <w:pPr>
              <w:ind w:right="-1"/>
              <w:jc w:val="center"/>
              <w:rPr>
                <w:rFonts w:ascii="Times New Roman" w:hAnsi="Times New Roman" w:cs="Times New Roman"/>
                <w:b/>
                <w:bCs/>
                <w:sz w:val="24"/>
                <w:szCs w:val="24"/>
              </w:rPr>
            </w:pPr>
            <w:r w:rsidRPr="006F6800">
              <w:rPr>
                <w:rFonts w:ascii="Times New Roman" w:hAnsi="Times New Roman" w:cs="Times New Roman"/>
                <w:b/>
                <w:bCs/>
                <w:sz w:val="24"/>
                <w:szCs w:val="24"/>
              </w:rPr>
              <w:t>Ponderea barierei</w:t>
            </w:r>
          </w:p>
        </w:tc>
      </w:tr>
      <w:tr w:rsidR="00534116" w:rsidRPr="006F6800" w14:paraId="10A4F9DC"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61623BF0"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1</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10A2468C"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„Proiectarea aeronavei, a echipamentelor și a infrastructurii” – include întreținerea și remedierea, sprijinirea operațiunilor, prevenirea problemelor legate de factorii tehnici care ar putea duce la un accident.</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3C7932F7"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5</w:t>
            </w:r>
          </w:p>
        </w:tc>
      </w:tr>
      <w:tr w:rsidR="00534116" w:rsidRPr="006F6800" w14:paraId="4B61465E"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24123561"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2</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69969683"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„Planificarea tactică” – include planificarea organizațională și individuală înainte de zbor sau o altă activitate operațională care sprijină reducerea cauzelor și a factorilor care contribuie la producerea de accidente.</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51191C58"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2</w:t>
            </w:r>
          </w:p>
        </w:tc>
      </w:tr>
      <w:tr w:rsidR="00534116" w:rsidRPr="006F6800" w14:paraId="099731FD"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6DD55B4A"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3</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2D1C093D"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„Reglementări, proceduri, procese” – include reglementări, proceduri și procese eficace, ușor de înțeles și disponibile care sunt respectate (cu excepția utilizării procedurilor legate de barierele de recuperare).</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279B3D9B"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3</w:t>
            </w:r>
          </w:p>
        </w:tc>
      </w:tr>
      <w:tr w:rsidR="00534116" w:rsidRPr="006F6800" w14:paraId="3A8A2ABE"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08655FC0"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4</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3416FC01"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„Conștientizarea situației și luarea de măsuri” – include vigilența umană în ceea ce privește amenințările operaționale, care asigură identificarea pericolelor operaționale și a măsurilor eficace de prevenire a unui accident.</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70CE6F21"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2</w:t>
            </w:r>
          </w:p>
        </w:tc>
      </w:tr>
      <w:tr w:rsidR="00534116" w:rsidRPr="006F6800" w14:paraId="467D29DA"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61968846"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5</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66F6C9AF"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„Funcționarea și acționarea sistemelor de avertizare” care ar putea preveni un accident și care sunt adecvate scopului, în funcțiune, operaționale și respectate.</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24A419C4"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3</w:t>
            </w:r>
          </w:p>
        </w:tc>
      </w:tr>
      <w:tr w:rsidR="00534116" w:rsidRPr="006F6800" w14:paraId="64711B74"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4ABB6C22"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6</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13302953"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„Recuperarea tardivă în urma unei situații de accident potențial”</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39AE07E1"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1</w:t>
            </w:r>
          </w:p>
        </w:tc>
      </w:tr>
      <w:tr w:rsidR="00534116" w:rsidRPr="006F6800" w14:paraId="7C3F9110"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62370D60"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7</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75090CB7"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„Protecții” – atunci când a avut loc un eveniment, nivelul rezultatului este atenuat sau se împiedică agravarea evenimentului prin bariere intangibile sau prin măsuri preventive.</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7739B772"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1</w:t>
            </w:r>
          </w:p>
        </w:tc>
      </w:tr>
      <w:tr w:rsidR="00534116" w:rsidRPr="006F6800" w14:paraId="381F984A" w14:textId="77777777" w:rsidTr="00534116">
        <w:tc>
          <w:tcPr>
            <w:tcW w:w="494" w:type="pct"/>
            <w:tcBorders>
              <w:top w:val="single" w:sz="6" w:space="0" w:color="000000"/>
              <w:left w:val="single" w:sz="6" w:space="0" w:color="000000"/>
              <w:bottom w:val="single" w:sz="6" w:space="0" w:color="000000"/>
              <w:right w:val="single" w:sz="6" w:space="0" w:color="000000"/>
            </w:tcBorders>
            <w:shd w:val="clear" w:color="auto" w:fill="FFFFFF"/>
            <w:hideMark/>
          </w:tcPr>
          <w:p w14:paraId="2DAD0E5F" w14:textId="77777777" w:rsidR="00534116" w:rsidRPr="006F6800" w:rsidRDefault="00534116" w:rsidP="006F6800">
            <w:pPr>
              <w:pStyle w:val="ListParagraph"/>
              <w:tabs>
                <w:tab w:val="left" w:pos="1422"/>
              </w:tabs>
              <w:ind w:right="-1" w:firstLine="142"/>
              <w:jc w:val="center"/>
              <w:rPr>
                <w:rFonts w:ascii="Times New Roman" w:hAnsi="Times New Roman" w:cs="Times New Roman"/>
                <w:sz w:val="24"/>
                <w:szCs w:val="24"/>
              </w:rPr>
            </w:pPr>
            <w:r w:rsidRPr="006F6800">
              <w:rPr>
                <w:rFonts w:ascii="Times New Roman" w:hAnsi="Times New Roman" w:cs="Times New Roman"/>
                <w:sz w:val="24"/>
                <w:szCs w:val="24"/>
              </w:rPr>
              <w:t>8</w:t>
            </w:r>
          </w:p>
        </w:tc>
        <w:tc>
          <w:tcPr>
            <w:tcW w:w="4066" w:type="pct"/>
            <w:tcBorders>
              <w:top w:val="single" w:sz="6" w:space="0" w:color="000000"/>
              <w:left w:val="single" w:sz="6" w:space="0" w:color="000000"/>
              <w:bottom w:val="single" w:sz="6" w:space="0" w:color="000000"/>
              <w:right w:val="single" w:sz="6" w:space="0" w:color="000000"/>
            </w:tcBorders>
            <w:shd w:val="clear" w:color="auto" w:fill="FFFFFF"/>
            <w:hideMark/>
          </w:tcPr>
          <w:p w14:paraId="630D1A37"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„Eveniment cu nivel scăzut de energie” – are același punctaj ca „Protecții”, dar numai pentru domenii de risc principale care implică un nivel scăzut de energie (avariere la sol, ieșiri de pe pistă, vătămări).</w:t>
            </w:r>
          </w:p>
          <w:p w14:paraId="08B3A9AB" w14:textId="77777777" w:rsidR="00534116" w:rsidRPr="006F6800" w:rsidRDefault="00534116" w:rsidP="006F6800">
            <w:pPr>
              <w:pStyle w:val="ListParagraph"/>
              <w:ind w:left="141" w:right="234"/>
              <w:jc w:val="both"/>
              <w:rPr>
                <w:rFonts w:ascii="Times New Roman" w:hAnsi="Times New Roman" w:cs="Times New Roman"/>
                <w:sz w:val="24"/>
                <w:szCs w:val="24"/>
              </w:rPr>
            </w:pPr>
            <w:r w:rsidRPr="006F6800">
              <w:rPr>
                <w:rFonts w:ascii="Times New Roman" w:hAnsi="Times New Roman" w:cs="Times New Roman"/>
                <w:sz w:val="24"/>
                <w:szCs w:val="24"/>
              </w:rPr>
              <w:t>„Nu se aplică” pentru toate celelalte domenii de risc principale.</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6F80B7FF" w14:textId="77777777" w:rsidR="00534116" w:rsidRPr="006F6800" w:rsidRDefault="00534116" w:rsidP="006F6800">
            <w:pPr>
              <w:ind w:right="-1" w:firstLine="192"/>
              <w:jc w:val="center"/>
              <w:rPr>
                <w:rFonts w:ascii="Times New Roman" w:hAnsi="Times New Roman" w:cs="Times New Roman"/>
                <w:sz w:val="24"/>
                <w:szCs w:val="24"/>
              </w:rPr>
            </w:pPr>
            <w:r w:rsidRPr="006F6800">
              <w:rPr>
                <w:rFonts w:ascii="Times New Roman" w:hAnsi="Times New Roman" w:cs="Times New Roman"/>
                <w:sz w:val="24"/>
                <w:szCs w:val="24"/>
              </w:rPr>
              <w:t>1</w:t>
            </w:r>
          </w:p>
        </w:tc>
      </w:tr>
    </w:tbl>
    <w:p w14:paraId="2F222307" w14:textId="77777777" w:rsidR="00534116" w:rsidRPr="006F6800" w:rsidRDefault="00534116" w:rsidP="006F6800">
      <w:pPr>
        <w:ind w:right="-1" w:firstLine="709"/>
        <w:jc w:val="both"/>
        <w:rPr>
          <w:rFonts w:ascii="Times New Roman" w:hAnsi="Times New Roman" w:cs="Times New Roman"/>
          <w:b/>
          <w:bCs/>
          <w:sz w:val="24"/>
          <w:szCs w:val="24"/>
        </w:rPr>
      </w:pPr>
    </w:p>
    <w:p w14:paraId="4BA69CB5"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2.1.2.   Eficacitatea barierelor</w:t>
      </w:r>
    </w:p>
    <w:p w14:paraId="51D6AB70"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 „Stopped” </w:t>
      </w:r>
      <w:r w:rsidRPr="006F6800">
        <w:rPr>
          <w:rFonts w:ascii="Times New Roman" w:hAnsi="Times New Roman" w:cs="Times New Roman"/>
          <w:sz w:val="24"/>
          <w:szCs w:val="24"/>
        </w:rPr>
        <w:t>(„oprit”): dacă bariera a prevenit producerea accidentului;</w:t>
      </w:r>
    </w:p>
    <w:p w14:paraId="337BBFC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„Remaining Known</w:t>
      </w:r>
      <w:r w:rsidRPr="006F6800">
        <w:rPr>
          <w:rFonts w:ascii="Times New Roman" w:hAnsi="Times New Roman" w:cs="Times New Roman"/>
          <w:sz w:val="24"/>
          <w:szCs w:val="24"/>
        </w:rPr>
        <w:t>” („cunoscută ca rămasă”): în cazul în care se știe dacă bariera a rămas între evenimentul evaluat și rezultatul de accident potențial;</w:t>
      </w:r>
    </w:p>
    <w:p w14:paraId="2D7A0CB1"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„Failed Known” </w:t>
      </w:r>
      <w:r w:rsidRPr="006F6800">
        <w:rPr>
          <w:rFonts w:ascii="Times New Roman" w:hAnsi="Times New Roman" w:cs="Times New Roman"/>
          <w:sz w:val="24"/>
          <w:szCs w:val="24"/>
        </w:rPr>
        <w:t>(„cunoscută ca eșuată”): dacă se știe că bariera a eșuat</w:t>
      </w:r>
    </w:p>
    <w:p w14:paraId="3E45A763"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 „Failed Assumed</w:t>
      </w:r>
      <w:r w:rsidRPr="006F6800">
        <w:rPr>
          <w:rFonts w:ascii="Times New Roman" w:hAnsi="Times New Roman" w:cs="Times New Roman"/>
          <w:sz w:val="24"/>
          <w:szCs w:val="24"/>
        </w:rPr>
        <w:t>” („presupusă ca eșuată”): dacă se presupune că bariera a eșuat, chiar dacă nu sunt disponibile informații suficiente (sau deloc) pentru a stabili acest lucru;</w:t>
      </w:r>
    </w:p>
    <w:p w14:paraId="11334694"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 „Not Applicable” </w:t>
      </w:r>
      <w:r w:rsidRPr="006F6800">
        <w:rPr>
          <w:rFonts w:ascii="Times New Roman" w:hAnsi="Times New Roman" w:cs="Times New Roman"/>
          <w:sz w:val="24"/>
          <w:szCs w:val="24"/>
        </w:rPr>
        <w:t>(„nu se aplică”): dacă bariera nu este relevantă pentru evenimentul evaluat.</w:t>
      </w:r>
    </w:p>
    <w:p w14:paraId="389F4023"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2.1.3. Evaluarea barierelor</w:t>
      </w:r>
    </w:p>
    <w:p w14:paraId="67EA0D1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Barierele se evaluează în două etape:</w:t>
      </w:r>
    </w:p>
    <w:p w14:paraId="1C0DECDD"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Etapa 1: Pentru a identifica, dintre barierele definite în tabelul din secțiunea 2.1.1, care barieră: (1-8) a oprit transformarea evenimentului în rezultatul de accident potențial (denumită „barieră de oprire”).</w:t>
      </w:r>
    </w:p>
    <w:p w14:paraId="2DFE9579"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Etapa 2: Pentru a identifica, în conformitate cu secțiunea 2.1.2, eficacitatea barierelor rămase. Barierele rămase sunt acele bariere enumerate în tabelul din secțiunea 2.1.1 care sunt plasate între bariera de oprire și rezultatul de accident potențial. Nu trebuie să se considere că barierele enumerate în tabelul din secțiunea 2.1.1 care sunt plasate înainte de bariera de oprire au contribuit la prevenirea rezultatului de accident și, în consecință, barierele respective nu sunt punctate ca „Stopped” sau „Remaining”.</w:t>
      </w:r>
    </w:p>
    <w:p w14:paraId="491CE098"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2.2.   Calcul</w:t>
      </w:r>
    </w:p>
    <w:p w14:paraId="19AD713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Probabilitatea survenirii rezultatului de accident potențial este valoarea numerică rezultată în urma etapelor de mai jos:</w:t>
      </w:r>
    </w:p>
    <w:p w14:paraId="26A133C5"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Etapa 1</w:t>
      </w:r>
      <w:r w:rsidRPr="006F6800">
        <w:rPr>
          <w:rFonts w:ascii="Times New Roman" w:hAnsi="Times New Roman" w:cs="Times New Roman"/>
          <w:sz w:val="24"/>
          <w:szCs w:val="24"/>
        </w:rPr>
        <w:t xml:space="preserve">: O sumă a tuturor ponderilor barierelor (de la 1 la 5) prevăzute în tabelul din secțiunea </w:t>
      </w:r>
      <w:r w:rsidRPr="006F6800">
        <w:rPr>
          <w:rFonts w:ascii="Times New Roman" w:hAnsi="Times New Roman" w:cs="Times New Roman"/>
          <w:sz w:val="24"/>
          <w:szCs w:val="24"/>
        </w:rPr>
        <w:lastRenderedPageBreak/>
        <w:t>2.1.1 aferente tuturor barierelor evaluate care au fost punctate ca „Stopped”, „Remaining known” sau „Remaining assumed”. Barierele „Failed” și „Not Applicable” nu sunt incluse în calcularea punctajului final, deoarece aceste bariere nu ar fi putut preveni accidentul. Suma rezultată a ponderilor barierelor este o valoare numerică între 0 și 18.</w:t>
      </w:r>
    </w:p>
    <w:p w14:paraId="25A54E8B"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Etapa 2</w:t>
      </w:r>
      <w:r w:rsidRPr="006F6800">
        <w:rPr>
          <w:rFonts w:ascii="Times New Roman" w:hAnsi="Times New Roman" w:cs="Times New Roman"/>
          <w:sz w:val="24"/>
          <w:szCs w:val="24"/>
        </w:rPr>
        <w:t>: Suma ponderilor barierelor corespunde unui punctaj de barieră între 0 și 9, conform tabelului de mai jos, care acoperă întreaga gamă dintre barierele rămase puternice și cele slabe.</w:t>
      </w:r>
    </w:p>
    <w:p w14:paraId="51C2FDBE" w14:textId="77777777" w:rsidR="00534116" w:rsidRPr="006F6800" w:rsidRDefault="00534116" w:rsidP="006F6800">
      <w:pPr>
        <w:pStyle w:val="ListParagraph"/>
        <w:ind w:right="-1" w:firstLine="709"/>
        <w:jc w:val="both"/>
        <w:rPr>
          <w:rFonts w:ascii="Times New Roman" w:hAnsi="Times New Roman" w:cs="Times New Roman"/>
          <w:sz w:val="24"/>
          <w:szCs w:val="24"/>
        </w:rPr>
      </w:pPr>
    </w:p>
    <w:tbl>
      <w:tblPr>
        <w:tblW w:w="5000" w:type="pct"/>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33"/>
        <w:gridCol w:w="4415"/>
      </w:tblGrid>
      <w:tr w:rsidR="00534116" w:rsidRPr="006F6800" w14:paraId="4305EF70"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408D344C" w14:textId="77777777" w:rsidR="00534116" w:rsidRPr="006F6800" w:rsidRDefault="00534116" w:rsidP="006F6800">
            <w:pPr>
              <w:ind w:right="-1" w:firstLine="709"/>
              <w:jc w:val="center"/>
              <w:rPr>
                <w:rFonts w:ascii="Times New Roman" w:hAnsi="Times New Roman" w:cs="Times New Roman"/>
                <w:b/>
                <w:bCs/>
                <w:sz w:val="24"/>
                <w:szCs w:val="24"/>
              </w:rPr>
            </w:pPr>
            <w:r w:rsidRPr="006F6800">
              <w:rPr>
                <w:rFonts w:ascii="Times New Roman" w:hAnsi="Times New Roman" w:cs="Times New Roman"/>
                <w:b/>
                <w:bCs/>
                <w:sz w:val="24"/>
                <w:szCs w:val="24"/>
              </w:rPr>
              <w:t>Suma ponderilor barierelor</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041C0C06" w14:textId="77777777" w:rsidR="00534116" w:rsidRPr="006F6800" w:rsidRDefault="00534116" w:rsidP="006F6800">
            <w:pPr>
              <w:ind w:right="-1" w:firstLine="709"/>
              <w:jc w:val="center"/>
              <w:rPr>
                <w:rFonts w:ascii="Times New Roman" w:hAnsi="Times New Roman" w:cs="Times New Roman"/>
                <w:b/>
                <w:bCs/>
                <w:sz w:val="24"/>
                <w:szCs w:val="24"/>
              </w:rPr>
            </w:pPr>
            <w:r w:rsidRPr="006F6800">
              <w:rPr>
                <w:rFonts w:ascii="Times New Roman" w:hAnsi="Times New Roman" w:cs="Times New Roman"/>
                <w:b/>
                <w:bCs/>
                <w:sz w:val="24"/>
                <w:szCs w:val="24"/>
              </w:rPr>
              <w:t>Punctajul de barieră corespunzător</w:t>
            </w:r>
          </w:p>
        </w:tc>
      </w:tr>
      <w:tr w:rsidR="00534116" w:rsidRPr="006F6800" w14:paraId="14F0470E"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55BF6A70" w14:textId="77777777" w:rsidR="00534116" w:rsidRPr="006F6800" w:rsidRDefault="00534116" w:rsidP="006F6800">
            <w:pPr>
              <w:ind w:left="142" w:right="-1"/>
              <w:rPr>
                <w:rFonts w:ascii="Times New Roman" w:hAnsi="Times New Roman" w:cs="Times New Roman"/>
                <w:sz w:val="24"/>
                <w:szCs w:val="24"/>
              </w:rPr>
            </w:pPr>
            <w:r w:rsidRPr="006F6800">
              <w:rPr>
                <w:rFonts w:ascii="Times New Roman" w:hAnsi="Times New Roman" w:cs="Times New Roman"/>
                <w:sz w:val="24"/>
                <w:szCs w:val="24"/>
              </w:rPr>
              <w:t>0 Nu a mai rămas nicio barieră. S-a produs rezultatul de accident potențial cel mai grav.</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2B6320DB"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0</w:t>
            </w:r>
          </w:p>
        </w:tc>
      </w:tr>
      <w:tr w:rsidR="00534116" w:rsidRPr="006F6800" w14:paraId="278E38D5"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60E2A13A"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1-2</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7150104C"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1</w:t>
            </w:r>
          </w:p>
        </w:tc>
      </w:tr>
      <w:tr w:rsidR="00534116" w:rsidRPr="006F6800" w14:paraId="62649007"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16271BB9"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3-4</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755F4199"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2</w:t>
            </w:r>
          </w:p>
        </w:tc>
      </w:tr>
      <w:tr w:rsidR="00534116" w:rsidRPr="006F6800" w14:paraId="7360519C"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46F649B7"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5-6</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7176BDE8"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3</w:t>
            </w:r>
          </w:p>
        </w:tc>
      </w:tr>
      <w:tr w:rsidR="00534116" w:rsidRPr="006F6800" w14:paraId="1D30FD5B"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5127AFE7"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7-8</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7A940FD9"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4</w:t>
            </w:r>
          </w:p>
        </w:tc>
      </w:tr>
      <w:tr w:rsidR="00534116" w:rsidRPr="006F6800" w14:paraId="4C0B2E1A"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7B7459E8"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9-10</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39AA0EEB"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5</w:t>
            </w:r>
          </w:p>
        </w:tc>
      </w:tr>
      <w:tr w:rsidR="00534116" w:rsidRPr="006F6800" w14:paraId="11F60250"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63F48864"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11-12</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37214237"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6</w:t>
            </w:r>
          </w:p>
        </w:tc>
      </w:tr>
      <w:tr w:rsidR="00534116" w:rsidRPr="006F6800" w14:paraId="4B48CABB"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25C371BC"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13-14</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55EEF563"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7</w:t>
            </w:r>
          </w:p>
        </w:tc>
      </w:tr>
      <w:tr w:rsidR="00534116" w:rsidRPr="006F6800" w14:paraId="6FA805C7"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429633C3"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15-16</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174C92CA"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8</w:t>
            </w:r>
          </w:p>
        </w:tc>
      </w:tr>
      <w:tr w:rsidR="00534116" w:rsidRPr="006F6800" w14:paraId="72A841AC" w14:textId="77777777" w:rsidTr="00534116">
        <w:tc>
          <w:tcPr>
            <w:tcW w:w="2803" w:type="pct"/>
            <w:tcBorders>
              <w:top w:val="single" w:sz="6" w:space="0" w:color="000000"/>
              <w:left w:val="single" w:sz="6" w:space="0" w:color="000000"/>
              <w:bottom w:val="single" w:sz="6" w:space="0" w:color="000000"/>
              <w:right w:val="single" w:sz="6" w:space="0" w:color="000000"/>
            </w:tcBorders>
            <w:shd w:val="clear" w:color="auto" w:fill="FFFFFF"/>
            <w:hideMark/>
          </w:tcPr>
          <w:p w14:paraId="1BF29E8D"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17-18</w:t>
            </w:r>
          </w:p>
        </w:tc>
        <w:tc>
          <w:tcPr>
            <w:tcW w:w="2197" w:type="pct"/>
            <w:tcBorders>
              <w:top w:val="single" w:sz="6" w:space="0" w:color="000000"/>
              <w:left w:val="single" w:sz="6" w:space="0" w:color="000000"/>
              <w:bottom w:val="single" w:sz="6" w:space="0" w:color="000000"/>
              <w:right w:val="single" w:sz="6" w:space="0" w:color="000000"/>
            </w:tcBorders>
            <w:shd w:val="clear" w:color="auto" w:fill="FFFFFF"/>
            <w:hideMark/>
          </w:tcPr>
          <w:p w14:paraId="45B9596B"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9</w:t>
            </w:r>
          </w:p>
        </w:tc>
      </w:tr>
    </w:tbl>
    <w:p w14:paraId="3BEC6197" w14:textId="77777777" w:rsidR="00534116" w:rsidRPr="006F6800" w:rsidRDefault="00534116" w:rsidP="006F6800">
      <w:pPr>
        <w:ind w:right="-1" w:firstLine="709"/>
        <w:jc w:val="both"/>
        <w:rPr>
          <w:rFonts w:ascii="Times New Roman" w:hAnsi="Times New Roman" w:cs="Times New Roman"/>
          <w:b/>
          <w:bCs/>
          <w:sz w:val="24"/>
          <w:szCs w:val="24"/>
        </w:rPr>
      </w:pPr>
    </w:p>
    <w:p w14:paraId="7668AC4D" w14:textId="77777777"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ETAPA 2: PUNCTAREA RISCULUI PENTRU SIGURANȚĂ ÎN CADRUL MATRICEI ERCS</w:t>
      </w:r>
    </w:p>
    <w:p w14:paraId="2BAA5267"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Punctajul riscului pentru siguranță este o valoare din două cifre, prima cifră corespunzând valorii alfabetice rezultate din calculul gravității evenimentului (punctaj de gravitate de la A la X), iar a doua cifră reprezentând valoarea numerică obținută în urma calculării punctajului corespunzător al evenimentului (0-9).</w:t>
      </w:r>
    </w:p>
    <w:p w14:paraId="5A07D8B6"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Punctajul riscului pentru siguranță se introduce în matricea ERCS.</w:t>
      </w:r>
    </w:p>
    <w:p w14:paraId="11B72FE4"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Pentru fiecare punctaj al riscului pentru siguranță dat, există și un punctaj echivalent numeric pentru scopuri de agregare și de analiză, care este explicat mai jos la rubrica </w:t>
      </w:r>
      <w:r w:rsidRPr="006F6800">
        <w:rPr>
          <w:rFonts w:ascii="Times New Roman" w:hAnsi="Times New Roman" w:cs="Times New Roman"/>
          <w:b/>
          <w:bCs/>
          <w:sz w:val="24"/>
          <w:szCs w:val="24"/>
        </w:rPr>
        <w:t>„Punctajul echivalent numeric”</w:t>
      </w:r>
      <w:r w:rsidRPr="006F6800">
        <w:rPr>
          <w:rFonts w:ascii="Times New Roman" w:hAnsi="Times New Roman" w:cs="Times New Roman"/>
          <w:sz w:val="24"/>
          <w:szCs w:val="24"/>
        </w:rPr>
        <w:t> .</w:t>
      </w:r>
    </w:p>
    <w:p w14:paraId="2ACA6A48"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xml:space="preserve">Matricea ERCS reflectă punctajul riscului pentru siguranță și cifrele numerice asociate ale unui eveniment după cum urmează: </w:t>
      </w:r>
    </w:p>
    <w:p w14:paraId="325C1211" w14:textId="77777777" w:rsidR="00534116" w:rsidRPr="006F6800" w:rsidRDefault="00534116" w:rsidP="006F6800">
      <w:pPr>
        <w:ind w:right="-1"/>
        <w:jc w:val="both"/>
        <w:rPr>
          <w:rFonts w:ascii="Times New Roman" w:hAnsi="Times New Roman" w:cs="Times New Roman"/>
          <w:sz w:val="24"/>
          <w:szCs w:val="24"/>
        </w:rPr>
      </w:pPr>
      <w:r w:rsidRPr="006F6800">
        <w:rPr>
          <w:rFonts w:ascii="Times New Roman" w:hAnsi="Times New Roman" w:cs="Times New Roman"/>
          <w:sz w:val="24"/>
          <w:szCs w:val="24"/>
          <w:lang w:val="en-US"/>
        </w:rPr>
        <w:lastRenderedPageBreak/>
        <w:drawing>
          <wp:inline distT="0" distB="0" distL="0" distR="0" wp14:anchorId="30DC10C3" wp14:editId="057BDB6A">
            <wp:extent cx="6563205" cy="6248400"/>
            <wp:effectExtent l="0" t="0" r="9525" b="0"/>
            <wp:docPr id="472834926" name="Picture 2" descr="A chart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34926" name="Picture 2" descr="A chart with different colored squar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2837" cy="6314692"/>
                    </a:xfrm>
                    <a:prstGeom prst="rect">
                      <a:avLst/>
                    </a:prstGeom>
                    <a:noFill/>
                    <a:ln>
                      <a:noFill/>
                    </a:ln>
                  </pic:spPr>
                </pic:pic>
              </a:graphicData>
            </a:graphic>
          </wp:inline>
        </w:drawing>
      </w:r>
    </w:p>
    <w:p w14:paraId="112DDBB6" w14:textId="77777777" w:rsidR="00534116" w:rsidRPr="006F6800" w:rsidRDefault="00534116" w:rsidP="006F6800">
      <w:pPr>
        <w:ind w:right="-1" w:firstLine="709"/>
        <w:jc w:val="both"/>
        <w:rPr>
          <w:rFonts w:ascii="Times New Roman" w:hAnsi="Times New Roman" w:cs="Times New Roman"/>
          <w:sz w:val="24"/>
          <w:szCs w:val="24"/>
        </w:rPr>
      </w:pPr>
    </w:p>
    <w:p w14:paraId="278ADBA6" w14:textId="77777777" w:rsidR="00534116" w:rsidRPr="006F6800" w:rsidRDefault="00534116" w:rsidP="006F6800">
      <w:pPr>
        <w:ind w:right="-142" w:firstLine="709"/>
        <w:jc w:val="both"/>
        <w:rPr>
          <w:rFonts w:ascii="Times New Roman" w:hAnsi="Times New Roman" w:cs="Times New Roman"/>
          <w:sz w:val="24"/>
          <w:szCs w:val="24"/>
        </w:rPr>
      </w:pPr>
      <w:r w:rsidRPr="006F6800">
        <w:rPr>
          <w:rFonts w:ascii="Times New Roman" w:hAnsi="Times New Roman" w:cs="Times New Roman"/>
          <w:sz w:val="24"/>
          <w:szCs w:val="24"/>
        </w:rPr>
        <w:t>În plus față de punctajul riscului pentru siguranță și pentru a facilita determinarea caracterului urgent al măsurii recomandate care trebuie luată în legătură cu evenimentul, în matricea ERCS ar putea fi utilizate următoarele trei culori:</w:t>
      </w:r>
    </w:p>
    <w:p w14:paraId="151924BB" w14:textId="77777777" w:rsidR="00534116" w:rsidRPr="006F6800" w:rsidRDefault="00534116" w:rsidP="006F6800">
      <w:pPr>
        <w:ind w:right="-1" w:firstLine="709"/>
        <w:jc w:val="both"/>
        <w:rPr>
          <w:rFonts w:ascii="Times New Roman" w:hAnsi="Times New Roman" w:cs="Times New Roman"/>
          <w:sz w:val="24"/>
          <w:szCs w:val="24"/>
        </w:rPr>
      </w:pPr>
    </w:p>
    <w:tbl>
      <w:tblPr>
        <w:tblW w:w="5000" w:type="pct"/>
        <w:tblInd w:w="13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281"/>
        <w:gridCol w:w="3193"/>
        <w:gridCol w:w="4574"/>
      </w:tblGrid>
      <w:tr w:rsidR="00534116" w:rsidRPr="006F6800" w14:paraId="202E1712" w14:textId="77777777" w:rsidTr="00534116">
        <w:tc>
          <w:tcPr>
            <w:tcW w:w="1135" w:type="pct"/>
            <w:tcBorders>
              <w:top w:val="single" w:sz="6" w:space="0" w:color="000000"/>
              <w:left w:val="single" w:sz="6" w:space="0" w:color="000000"/>
              <w:bottom w:val="single" w:sz="6" w:space="0" w:color="000000"/>
              <w:right w:val="single" w:sz="6" w:space="0" w:color="000000"/>
            </w:tcBorders>
            <w:shd w:val="clear" w:color="auto" w:fill="FFFFFF"/>
            <w:hideMark/>
          </w:tcPr>
          <w:p w14:paraId="00A2E0F8" w14:textId="77777777" w:rsidR="00534116" w:rsidRPr="006F6800" w:rsidRDefault="00534116" w:rsidP="006F6800">
            <w:pPr>
              <w:ind w:left="142" w:right="-1"/>
              <w:jc w:val="center"/>
              <w:rPr>
                <w:rFonts w:ascii="Times New Roman" w:hAnsi="Times New Roman" w:cs="Times New Roman"/>
                <w:b/>
                <w:bCs/>
                <w:sz w:val="24"/>
                <w:szCs w:val="24"/>
              </w:rPr>
            </w:pPr>
            <w:r w:rsidRPr="006F6800">
              <w:rPr>
                <w:rFonts w:ascii="Times New Roman" w:hAnsi="Times New Roman" w:cs="Times New Roman"/>
                <w:b/>
                <w:bCs/>
                <w:sz w:val="24"/>
                <w:szCs w:val="24"/>
              </w:rPr>
              <w:t>Culoare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9D4511" w14:textId="77777777" w:rsidR="00534116" w:rsidRPr="006F6800" w:rsidRDefault="00534116" w:rsidP="006F6800">
            <w:pPr>
              <w:ind w:left="129" w:right="-1"/>
              <w:jc w:val="center"/>
              <w:rPr>
                <w:rFonts w:ascii="Times New Roman" w:hAnsi="Times New Roman" w:cs="Times New Roman"/>
                <w:b/>
                <w:bCs/>
                <w:sz w:val="24"/>
                <w:szCs w:val="24"/>
              </w:rPr>
            </w:pPr>
            <w:r w:rsidRPr="006F6800">
              <w:rPr>
                <w:rFonts w:ascii="Times New Roman" w:hAnsi="Times New Roman" w:cs="Times New Roman"/>
                <w:b/>
                <w:bCs/>
                <w:sz w:val="24"/>
                <w:szCs w:val="24"/>
              </w:rPr>
              <w:t>Punctaj ERCS</w:t>
            </w:r>
          </w:p>
        </w:tc>
        <w:tc>
          <w:tcPr>
            <w:tcW w:w="2276" w:type="pct"/>
            <w:tcBorders>
              <w:top w:val="single" w:sz="6" w:space="0" w:color="000000"/>
              <w:left w:val="single" w:sz="6" w:space="0" w:color="000000"/>
              <w:bottom w:val="single" w:sz="6" w:space="0" w:color="000000"/>
              <w:right w:val="single" w:sz="6" w:space="0" w:color="000000"/>
            </w:tcBorders>
            <w:shd w:val="clear" w:color="auto" w:fill="FFFFFF"/>
            <w:hideMark/>
          </w:tcPr>
          <w:p w14:paraId="436F4EC8" w14:textId="77777777" w:rsidR="00534116" w:rsidRPr="006F6800" w:rsidRDefault="00534116" w:rsidP="006F6800">
            <w:pPr>
              <w:ind w:left="54" w:right="-1"/>
              <w:jc w:val="center"/>
              <w:rPr>
                <w:rFonts w:ascii="Times New Roman" w:hAnsi="Times New Roman" w:cs="Times New Roman"/>
                <w:b/>
                <w:bCs/>
                <w:sz w:val="24"/>
                <w:szCs w:val="24"/>
              </w:rPr>
            </w:pPr>
            <w:r w:rsidRPr="006F6800">
              <w:rPr>
                <w:rFonts w:ascii="Times New Roman" w:hAnsi="Times New Roman" w:cs="Times New Roman"/>
                <w:b/>
                <w:bCs/>
                <w:sz w:val="24"/>
                <w:szCs w:val="24"/>
              </w:rPr>
              <w:t>Semnificație</w:t>
            </w:r>
          </w:p>
        </w:tc>
      </w:tr>
      <w:tr w:rsidR="00534116" w:rsidRPr="006F6800" w14:paraId="0338A9B2" w14:textId="77777777" w:rsidTr="00534116">
        <w:tc>
          <w:tcPr>
            <w:tcW w:w="1135" w:type="pct"/>
            <w:tcBorders>
              <w:top w:val="single" w:sz="6" w:space="0" w:color="000000"/>
              <w:left w:val="single" w:sz="6" w:space="0" w:color="000000"/>
              <w:bottom w:val="single" w:sz="6" w:space="0" w:color="000000"/>
              <w:right w:val="single" w:sz="6" w:space="0" w:color="000000"/>
            </w:tcBorders>
            <w:shd w:val="clear" w:color="auto" w:fill="FFFFFF"/>
            <w:hideMark/>
          </w:tcPr>
          <w:p w14:paraId="2337E1E9"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ROȘU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E26F5A" w14:textId="77777777" w:rsidR="00534116" w:rsidRPr="006F6800" w:rsidRDefault="00534116" w:rsidP="006F6800">
            <w:pPr>
              <w:ind w:left="129" w:right="-1"/>
              <w:rPr>
                <w:rFonts w:ascii="Times New Roman" w:hAnsi="Times New Roman" w:cs="Times New Roman"/>
                <w:sz w:val="24"/>
                <w:szCs w:val="24"/>
              </w:rPr>
            </w:pPr>
            <w:r w:rsidRPr="006F6800">
              <w:rPr>
                <w:rFonts w:ascii="Times New Roman" w:hAnsi="Times New Roman" w:cs="Times New Roman"/>
                <w:sz w:val="24"/>
                <w:szCs w:val="24"/>
              </w:rPr>
              <w:t>X0, X1, X2, S0, S1, S2, M0, M1, I0</w:t>
            </w:r>
          </w:p>
        </w:tc>
        <w:tc>
          <w:tcPr>
            <w:tcW w:w="2276" w:type="pct"/>
            <w:tcBorders>
              <w:top w:val="single" w:sz="6" w:space="0" w:color="000000"/>
              <w:left w:val="single" w:sz="6" w:space="0" w:color="000000"/>
              <w:bottom w:val="single" w:sz="6" w:space="0" w:color="000000"/>
              <w:right w:val="single" w:sz="6" w:space="0" w:color="000000"/>
            </w:tcBorders>
            <w:shd w:val="clear" w:color="auto" w:fill="FFFFFF"/>
            <w:hideMark/>
          </w:tcPr>
          <w:p w14:paraId="56D6A304" w14:textId="77777777" w:rsidR="00534116" w:rsidRPr="006F6800" w:rsidRDefault="00534116" w:rsidP="006F6800">
            <w:pPr>
              <w:ind w:left="54" w:right="-1"/>
              <w:rPr>
                <w:rFonts w:ascii="Times New Roman" w:hAnsi="Times New Roman" w:cs="Times New Roman"/>
                <w:sz w:val="24"/>
                <w:szCs w:val="24"/>
              </w:rPr>
            </w:pPr>
            <w:r w:rsidRPr="006F6800">
              <w:rPr>
                <w:rFonts w:ascii="Times New Roman" w:hAnsi="Times New Roman" w:cs="Times New Roman"/>
                <w:sz w:val="24"/>
                <w:szCs w:val="24"/>
              </w:rPr>
              <w:t>Risc ridicat. Evenimentele cu cel mai ridicat nivel de risc.</w:t>
            </w:r>
          </w:p>
        </w:tc>
      </w:tr>
      <w:tr w:rsidR="00534116" w:rsidRPr="006F6800" w14:paraId="53674046" w14:textId="77777777" w:rsidTr="00534116">
        <w:tc>
          <w:tcPr>
            <w:tcW w:w="1135" w:type="pct"/>
            <w:tcBorders>
              <w:top w:val="single" w:sz="6" w:space="0" w:color="000000"/>
              <w:left w:val="single" w:sz="6" w:space="0" w:color="000000"/>
              <w:bottom w:val="single" w:sz="6" w:space="0" w:color="000000"/>
              <w:right w:val="single" w:sz="6" w:space="0" w:color="000000"/>
            </w:tcBorders>
            <w:shd w:val="clear" w:color="auto" w:fill="FFFFFF"/>
            <w:hideMark/>
          </w:tcPr>
          <w:p w14:paraId="2FD2D1F4" w14:textId="77777777" w:rsidR="00534116" w:rsidRPr="006F6800" w:rsidRDefault="00534116" w:rsidP="006F6800">
            <w:pPr>
              <w:ind w:left="142" w:right="-1"/>
              <w:jc w:val="center"/>
              <w:rPr>
                <w:rFonts w:ascii="Times New Roman" w:hAnsi="Times New Roman" w:cs="Times New Roman"/>
                <w:sz w:val="24"/>
                <w:szCs w:val="24"/>
              </w:rPr>
            </w:pPr>
            <w:r w:rsidRPr="006F6800">
              <w:rPr>
                <w:rFonts w:ascii="Times New Roman" w:hAnsi="Times New Roman" w:cs="Times New Roman"/>
                <w:sz w:val="24"/>
                <w:szCs w:val="24"/>
              </w:rPr>
              <w:t>GALBEN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CD51A3" w14:textId="77777777" w:rsidR="00534116" w:rsidRPr="006F6800" w:rsidRDefault="00534116" w:rsidP="006F6800">
            <w:pPr>
              <w:ind w:left="129" w:right="-1"/>
              <w:rPr>
                <w:rFonts w:ascii="Times New Roman" w:hAnsi="Times New Roman" w:cs="Times New Roman"/>
                <w:sz w:val="24"/>
                <w:szCs w:val="24"/>
              </w:rPr>
            </w:pPr>
            <w:r w:rsidRPr="006F6800">
              <w:rPr>
                <w:rFonts w:ascii="Times New Roman" w:hAnsi="Times New Roman" w:cs="Times New Roman"/>
                <w:sz w:val="24"/>
                <w:szCs w:val="24"/>
              </w:rPr>
              <w:t>X3, X4, S3, S4, M2, M3, I1, I2, E0, E1</w:t>
            </w:r>
          </w:p>
        </w:tc>
        <w:tc>
          <w:tcPr>
            <w:tcW w:w="2276" w:type="pct"/>
            <w:tcBorders>
              <w:top w:val="single" w:sz="6" w:space="0" w:color="000000"/>
              <w:left w:val="single" w:sz="6" w:space="0" w:color="000000"/>
              <w:bottom w:val="single" w:sz="6" w:space="0" w:color="000000"/>
              <w:right w:val="single" w:sz="6" w:space="0" w:color="000000"/>
            </w:tcBorders>
            <w:shd w:val="clear" w:color="auto" w:fill="FFFFFF"/>
            <w:hideMark/>
          </w:tcPr>
          <w:p w14:paraId="70C1BC71" w14:textId="77777777" w:rsidR="00534116" w:rsidRPr="006F6800" w:rsidRDefault="00534116" w:rsidP="006F6800">
            <w:pPr>
              <w:ind w:left="54" w:right="-1"/>
              <w:rPr>
                <w:rFonts w:ascii="Times New Roman" w:hAnsi="Times New Roman" w:cs="Times New Roman"/>
                <w:sz w:val="24"/>
                <w:szCs w:val="24"/>
              </w:rPr>
            </w:pPr>
            <w:r w:rsidRPr="006F6800">
              <w:rPr>
                <w:rFonts w:ascii="Times New Roman" w:hAnsi="Times New Roman" w:cs="Times New Roman"/>
                <w:sz w:val="24"/>
                <w:szCs w:val="24"/>
              </w:rPr>
              <w:t>Risc sporit. Evenimente cu nivel de risc intermediar.</w:t>
            </w:r>
          </w:p>
        </w:tc>
      </w:tr>
      <w:tr w:rsidR="00534116" w:rsidRPr="006F6800" w14:paraId="23C3D3E5" w14:textId="77777777" w:rsidTr="00534116">
        <w:tc>
          <w:tcPr>
            <w:tcW w:w="1135" w:type="pct"/>
            <w:tcBorders>
              <w:top w:val="single" w:sz="6" w:space="0" w:color="000000"/>
              <w:left w:val="single" w:sz="6" w:space="0" w:color="000000"/>
              <w:bottom w:val="single" w:sz="6" w:space="0" w:color="000000"/>
              <w:right w:val="single" w:sz="6" w:space="0" w:color="000000"/>
            </w:tcBorders>
            <w:shd w:val="clear" w:color="auto" w:fill="FFFFFF"/>
            <w:hideMark/>
          </w:tcPr>
          <w:p w14:paraId="3B1995C5"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rPr>
              <w:t>VERDE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938653" w14:textId="77777777" w:rsidR="00534116" w:rsidRPr="006F6800" w:rsidRDefault="00534116" w:rsidP="006F6800">
            <w:pPr>
              <w:ind w:left="129" w:right="-1"/>
              <w:rPr>
                <w:rFonts w:ascii="Times New Roman" w:hAnsi="Times New Roman" w:cs="Times New Roman"/>
                <w:sz w:val="24"/>
                <w:szCs w:val="24"/>
              </w:rPr>
            </w:pPr>
            <w:r w:rsidRPr="006F6800">
              <w:rPr>
                <w:rFonts w:ascii="Times New Roman" w:hAnsi="Times New Roman" w:cs="Times New Roman"/>
                <w:sz w:val="24"/>
                <w:szCs w:val="24"/>
              </w:rPr>
              <w:t>X5-X9, S5-S9, M4-M9, I3-I9, E2-E9.</w:t>
            </w:r>
          </w:p>
        </w:tc>
        <w:tc>
          <w:tcPr>
            <w:tcW w:w="2276" w:type="pct"/>
            <w:tcBorders>
              <w:top w:val="single" w:sz="6" w:space="0" w:color="000000"/>
              <w:left w:val="single" w:sz="6" w:space="0" w:color="000000"/>
              <w:bottom w:val="single" w:sz="6" w:space="0" w:color="000000"/>
              <w:right w:val="single" w:sz="6" w:space="0" w:color="000000"/>
            </w:tcBorders>
            <w:shd w:val="clear" w:color="auto" w:fill="FFFFFF"/>
            <w:hideMark/>
          </w:tcPr>
          <w:p w14:paraId="3994FD3D" w14:textId="77777777" w:rsidR="00534116" w:rsidRPr="006F6800" w:rsidRDefault="00534116" w:rsidP="006F6800">
            <w:pPr>
              <w:ind w:left="54" w:right="-1"/>
              <w:rPr>
                <w:rFonts w:ascii="Times New Roman" w:hAnsi="Times New Roman" w:cs="Times New Roman"/>
                <w:sz w:val="24"/>
                <w:szCs w:val="24"/>
              </w:rPr>
            </w:pPr>
            <w:r w:rsidRPr="006F6800">
              <w:rPr>
                <w:rFonts w:ascii="Times New Roman" w:hAnsi="Times New Roman" w:cs="Times New Roman"/>
                <w:sz w:val="24"/>
                <w:szCs w:val="24"/>
              </w:rPr>
              <w:t>Evenimente cu nivel de risc scăzut</w:t>
            </w:r>
          </w:p>
        </w:tc>
      </w:tr>
    </w:tbl>
    <w:p w14:paraId="2AA4BDA7" w14:textId="77777777" w:rsidR="00534116" w:rsidRPr="006F6800" w:rsidRDefault="00534116" w:rsidP="006F6800">
      <w:pPr>
        <w:ind w:right="-1" w:firstLine="709"/>
        <w:jc w:val="both"/>
        <w:rPr>
          <w:rFonts w:ascii="Times New Roman" w:hAnsi="Times New Roman" w:cs="Times New Roman"/>
          <w:sz w:val="24"/>
          <w:szCs w:val="24"/>
        </w:rPr>
      </w:pPr>
    </w:p>
    <w:p w14:paraId="0D0C71C2" w14:textId="77777777" w:rsidR="00534116" w:rsidRPr="006F6800" w:rsidRDefault="00534116" w:rsidP="006F6800">
      <w:pPr>
        <w:ind w:right="-1" w:firstLine="709"/>
        <w:jc w:val="both"/>
        <w:rPr>
          <w:rFonts w:ascii="Times New Roman" w:hAnsi="Times New Roman" w:cs="Times New Roman"/>
          <w:sz w:val="24"/>
          <w:szCs w:val="24"/>
        </w:rPr>
      </w:pPr>
    </w:p>
    <w:p w14:paraId="3174DAE5"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Zona verde a matricei conține valori de risc scăzute. Ele oferă date pentru o analiză aprofundată cu privire la evenimentele legate de siguranță care, fie singure, fie în combinație cu alte evenimente, ar putea spori valorile de risc ale unor astfel de evenimente.</w:t>
      </w:r>
    </w:p>
    <w:p w14:paraId="3EF92FEF" w14:textId="15A4B9B6" w:rsidR="00534116" w:rsidRPr="006F6800" w:rsidRDefault="00534116" w:rsidP="006F6800">
      <w:pPr>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Punctajul echivalent numeric</w:t>
      </w:r>
    </w:p>
    <w:tbl>
      <w:tblPr>
        <w:tblpPr w:leftFromText="180" w:rightFromText="180" w:vertAnchor="text" w:horzAnchor="margin" w:tblpXSpec="outside" w:tblpY="1114"/>
        <w:tblW w:w="1019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77"/>
        <w:gridCol w:w="985"/>
        <w:gridCol w:w="992"/>
        <w:gridCol w:w="709"/>
        <w:gridCol w:w="567"/>
        <w:gridCol w:w="716"/>
        <w:gridCol w:w="716"/>
        <w:gridCol w:w="709"/>
        <w:gridCol w:w="708"/>
        <w:gridCol w:w="1134"/>
        <w:gridCol w:w="985"/>
      </w:tblGrid>
      <w:tr w:rsidR="00534116" w:rsidRPr="006F6800" w14:paraId="5C86700A" w14:textId="77777777" w:rsidTr="00534116">
        <w:trPr>
          <w:trHeight w:val="150"/>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78B0C0E2"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Punctaj ERCS</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2FE48EDF"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X9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E49C2B9"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X8</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EC01883"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X7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A79233E"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X6</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2449F092"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X5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439ECBDC"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X4</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DFF80F4"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X3</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0E02D5CE" w14:textId="77777777" w:rsidR="00534116" w:rsidRPr="006F6800" w:rsidRDefault="00534116" w:rsidP="006F6800">
            <w:pPr>
              <w:tabs>
                <w:tab w:val="left" w:pos="150"/>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X2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DD0E60D"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X1</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72164C9F"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X0</w:t>
            </w:r>
          </w:p>
        </w:tc>
      </w:tr>
      <w:tr w:rsidR="00534116" w:rsidRPr="006F6800" w14:paraId="6A60F1A7" w14:textId="77777777" w:rsidTr="00534116">
        <w:trPr>
          <w:trHeight w:val="642"/>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2C850846"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Valoare numerică corespunzătoare</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069B3AB4"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0C27B3A1"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6A22EFB8"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59534394"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6A546785"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43144297"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B4B7C8F"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1 000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9F674C2"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10 000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EEA053B"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100 000</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12D7583E"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1 000 000</w:t>
            </w:r>
          </w:p>
        </w:tc>
      </w:tr>
      <w:tr w:rsidR="00534116" w:rsidRPr="006F6800" w14:paraId="0FA632AB" w14:textId="77777777" w:rsidTr="00534116">
        <w:trPr>
          <w:trHeight w:val="141"/>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2423772D"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Punctaj ERCS</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7F9FB536"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CF7DDD7"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S8</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C065972"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5AA24A2C"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S6</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1F045912"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04D9CE46"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S4</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2CB18E4"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S3</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3486A4EA"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C7186CA"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S1</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1A4CCECC"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S0</w:t>
            </w:r>
          </w:p>
        </w:tc>
      </w:tr>
      <w:tr w:rsidR="00534116" w:rsidRPr="006F6800" w14:paraId="09A9EFA1" w14:textId="77777777" w:rsidTr="00534116">
        <w:trPr>
          <w:trHeight w:val="443"/>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75F27354"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Valoare numerică corespunzătoare</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713F59F8"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0,0005</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266B740F"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0,005</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03502BC2"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0,05</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5AB6FD1"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0CED8391"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0EDD059B"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50</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02CBA10"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500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5EEADED6"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5 000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373AE93"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50 000</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37FD40C1"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500 000</w:t>
            </w:r>
          </w:p>
        </w:tc>
      </w:tr>
      <w:tr w:rsidR="00534116" w:rsidRPr="006F6800" w14:paraId="35D18387" w14:textId="77777777" w:rsidTr="00534116">
        <w:trPr>
          <w:trHeight w:val="141"/>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575A99DA"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Punctaj ERCS</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49CD1A09"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5C6C9CF1"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M8</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4DCDA2F1"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64F0C5C6"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M6</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03E02F0D"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4A79AB56"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M4</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38AEE320"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M3</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284C1725"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A20BC17"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M1</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24DC6313"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M0</w:t>
            </w:r>
          </w:p>
        </w:tc>
      </w:tr>
      <w:tr w:rsidR="00534116" w:rsidRPr="006F6800" w14:paraId="55BAB35E" w14:textId="77777777" w:rsidTr="00534116">
        <w:trPr>
          <w:trHeight w:val="443"/>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41AFB1A7"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Valoare numerică corespunzătoare</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0C3F24D2"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6D7434E6"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E1E46A1"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A8857B2"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2B990CE6"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2990A71A"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2D67583A"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70B0835B"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1 000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EAC358A"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10 000</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6F8ED628"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100 000</w:t>
            </w:r>
          </w:p>
        </w:tc>
      </w:tr>
      <w:tr w:rsidR="00534116" w:rsidRPr="006F6800" w14:paraId="67950FE7" w14:textId="77777777" w:rsidTr="00534116">
        <w:trPr>
          <w:trHeight w:val="141"/>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767FFA48"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Punctaj ERCS</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26B193E5"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058375DC"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I8</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1F4D3F35"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17E9643"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I6</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20578985"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59436C7C"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I4</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0AA5C198"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I3</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40090F4"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4C5A4F9"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I1</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5D56D778"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I0</w:t>
            </w:r>
          </w:p>
        </w:tc>
      </w:tr>
      <w:tr w:rsidR="00534116" w:rsidRPr="006F6800" w14:paraId="4E90DAC7" w14:textId="77777777" w:rsidTr="00534116">
        <w:trPr>
          <w:trHeight w:val="436"/>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5C8FEDAE"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Valoare numerică corespunzătoare</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189E011C"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0,00001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009D3AEF"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2AEA994C"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507D47A"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186EFF76"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754B175C"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5CCC2389"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1E7C31C9"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D8EBEE5"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1 000</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083E06A0"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10 000</w:t>
            </w:r>
          </w:p>
        </w:tc>
      </w:tr>
      <w:tr w:rsidR="00534116" w:rsidRPr="006F6800" w14:paraId="41D0A606" w14:textId="77777777" w:rsidTr="00534116">
        <w:trPr>
          <w:trHeight w:val="150"/>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2625D60B"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Punctaj ERCS</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14911DFE"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1E386361"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E8</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4494C5D"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B037A9B"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E6</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0F8358AA"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E5</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3CED28C1"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E4</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1415A63"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E3</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733585D7"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75C8F4D"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E1</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64F26319"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E0</w:t>
            </w:r>
          </w:p>
        </w:tc>
      </w:tr>
      <w:tr w:rsidR="00534116" w:rsidRPr="006F6800" w14:paraId="1CDD8383" w14:textId="77777777" w:rsidTr="00534116">
        <w:trPr>
          <w:trHeight w:val="55"/>
        </w:trPr>
        <w:tc>
          <w:tcPr>
            <w:tcW w:w="1977" w:type="dxa"/>
            <w:tcBorders>
              <w:top w:val="single" w:sz="6" w:space="0" w:color="000000"/>
              <w:left w:val="single" w:sz="6" w:space="0" w:color="000000"/>
              <w:bottom w:val="single" w:sz="6" w:space="0" w:color="000000"/>
              <w:right w:val="single" w:sz="6" w:space="0" w:color="000000"/>
            </w:tcBorders>
            <w:shd w:val="clear" w:color="auto" w:fill="FFFFFF"/>
            <w:hideMark/>
          </w:tcPr>
          <w:p w14:paraId="7C7E1C40" w14:textId="77777777" w:rsidR="00534116" w:rsidRPr="006F6800" w:rsidRDefault="00534116" w:rsidP="006F6800">
            <w:pPr>
              <w:ind w:left="134" w:right="-1"/>
              <w:jc w:val="both"/>
              <w:rPr>
                <w:rFonts w:ascii="Times New Roman" w:hAnsi="Times New Roman" w:cs="Times New Roman"/>
                <w:sz w:val="24"/>
                <w:szCs w:val="24"/>
              </w:rPr>
            </w:pPr>
            <w:r w:rsidRPr="006F6800">
              <w:rPr>
                <w:rFonts w:ascii="Times New Roman" w:hAnsi="Times New Roman" w:cs="Times New Roman"/>
                <w:sz w:val="24"/>
                <w:szCs w:val="24"/>
              </w:rPr>
              <w:t>Valoare numerică corespunzătoare</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0D0ECEEB"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0,000001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0C24D707" w14:textId="77777777" w:rsidR="00534116" w:rsidRPr="006F6800" w:rsidRDefault="00534116" w:rsidP="006F6800">
            <w:pPr>
              <w:tabs>
                <w:tab w:val="left" w:pos="331"/>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0,00001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7C59F038"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0,0001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1619BE4" w14:textId="77777777" w:rsidR="00534116" w:rsidRPr="006F6800" w:rsidRDefault="00534116" w:rsidP="006F6800">
            <w:pPr>
              <w:tabs>
                <w:tab w:val="left" w:pos="215"/>
              </w:tabs>
              <w:ind w:left="134" w:right="-1"/>
              <w:jc w:val="center"/>
              <w:rPr>
                <w:rFonts w:ascii="Times New Roman" w:hAnsi="Times New Roman" w:cs="Times New Roman"/>
                <w:sz w:val="24"/>
                <w:szCs w:val="24"/>
              </w:rPr>
            </w:pPr>
            <w:r w:rsidRPr="006F6800">
              <w:rPr>
                <w:rFonts w:ascii="Times New Roman" w:hAnsi="Times New Roman" w:cs="Times New Roman"/>
                <w:sz w:val="24"/>
                <w:szCs w:val="24"/>
              </w:rPr>
              <w:t>0,001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38A643EF"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0,01</w:t>
            </w:r>
          </w:p>
        </w:tc>
        <w:tc>
          <w:tcPr>
            <w:tcW w:w="716" w:type="dxa"/>
            <w:tcBorders>
              <w:top w:val="single" w:sz="6" w:space="0" w:color="000000"/>
              <w:left w:val="single" w:sz="6" w:space="0" w:color="000000"/>
              <w:bottom w:val="single" w:sz="6" w:space="0" w:color="000000"/>
              <w:right w:val="single" w:sz="6" w:space="0" w:color="000000"/>
            </w:tcBorders>
            <w:shd w:val="clear" w:color="auto" w:fill="FFFFFF"/>
            <w:hideMark/>
          </w:tcPr>
          <w:p w14:paraId="5D88F3F3"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hideMark/>
          </w:tcPr>
          <w:p w14:paraId="6A03A018"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hideMark/>
          </w:tcPr>
          <w:p w14:paraId="2821AB5C"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EB7BED1" w14:textId="77777777" w:rsidR="00534116" w:rsidRPr="006F6800" w:rsidRDefault="00534116" w:rsidP="006F6800">
            <w:pPr>
              <w:ind w:left="134" w:right="-1"/>
              <w:jc w:val="center"/>
              <w:rPr>
                <w:rFonts w:ascii="Times New Roman" w:hAnsi="Times New Roman" w:cs="Times New Roman"/>
                <w:sz w:val="24"/>
                <w:szCs w:val="24"/>
              </w:rPr>
            </w:pPr>
            <w:r w:rsidRPr="006F6800">
              <w:rPr>
                <w:rFonts w:ascii="Times New Roman" w:hAnsi="Times New Roman" w:cs="Times New Roman"/>
                <w:sz w:val="24"/>
                <w:szCs w:val="24"/>
              </w:rPr>
              <w:t>100</w:t>
            </w:r>
          </w:p>
        </w:tc>
        <w:tc>
          <w:tcPr>
            <w:tcW w:w="985" w:type="dxa"/>
            <w:tcBorders>
              <w:top w:val="single" w:sz="6" w:space="0" w:color="000000"/>
              <w:left w:val="single" w:sz="6" w:space="0" w:color="000000"/>
              <w:bottom w:val="single" w:sz="6" w:space="0" w:color="000000"/>
              <w:right w:val="single" w:sz="6" w:space="0" w:color="000000"/>
            </w:tcBorders>
            <w:shd w:val="clear" w:color="auto" w:fill="FFFFFF"/>
            <w:hideMark/>
          </w:tcPr>
          <w:p w14:paraId="5A201BF6" w14:textId="77777777" w:rsidR="00534116" w:rsidRPr="006F6800" w:rsidRDefault="00534116" w:rsidP="006F6800">
            <w:pPr>
              <w:ind w:right="141"/>
              <w:jc w:val="center"/>
              <w:rPr>
                <w:rFonts w:ascii="Times New Roman" w:hAnsi="Times New Roman" w:cs="Times New Roman"/>
                <w:sz w:val="24"/>
                <w:szCs w:val="24"/>
              </w:rPr>
            </w:pPr>
            <w:r w:rsidRPr="006F6800">
              <w:rPr>
                <w:rFonts w:ascii="Times New Roman" w:hAnsi="Times New Roman" w:cs="Times New Roman"/>
                <w:sz w:val="24"/>
                <w:szCs w:val="24"/>
              </w:rPr>
              <w:t>1 000</w:t>
            </w:r>
          </w:p>
        </w:tc>
      </w:tr>
    </w:tbl>
    <w:p w14:paraId="790AF594"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Fiecare punctaj ERCS primește o valoare numerică de magnitudine a riscului corespunzătoare, pentru a facilita agregarea și analiza numerică a evenimentelor multiple cu un punctaj ERCS:</w:t>
      </w:r>
    </w:p>
    <w:p w14:paraId="347C296D" w14:textId="77777777" w:rsidR="00534116" w:rsidRPr="006F6800" w:rsidRDefault="00534116" w:rsidP="006F6800">
      <w:pPr>
        <w:ind w:right="-1" w:firstLine="709"/>
        <w:jc w:val="both"/>
        <w:rPr>
          <w:rFonts w:ascii="Times New Roman" w:hAnsi="Times New Roman" w:cs="Times New Roman"/>
          <w:sz w:val="24"/>
          <w:szCs w:val="24"/>
        </w:rPr>
      </w:pPr>
    </w:p>
    <w:p w14:paraId="1A4DFB6A" w14:textId="77777777" w:rsidR="00534116" w:rsidRPr="006F6800" w:rsidRDefault="00534116" w:rsidP="006F6800">
      <w:pPr>
        <w:ind w:right="-1" w:firstLine="709"/>
        <w:jc w:val="both"/>
        <w:rPr>
          <w:rFonts w:ascii="Times New Roman" w:hAnsi="Times New Roman" w:cs="Times New Roman"/>
          <w:sz w:val="24"/>
          <w:szCs w:val="24"/>
        </w:rPr>
      </w:pPr>
    </w:p>
    <w:p w14:paraId="3CB2C98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Atât coloana 10, cât și rândul A din matrice au valoarea 0 ca valoare numerică corespunzătoare.</w:t>
      </w:r>
    </w:p>
    <w:p w14:paraId="31EB2155" w14:textId="77777777" w:rsidR="00534116" w:rsidRPr="006F6800" w:rsidRDefault="00534116" w:rsidP="006F6800">
      <w:pPr>
        <w:ind w:right="-1" w:firstLine="709"/>
        <w:jc w:val="both"/>
        <w:rPr>
          <w:rFonts w:ascii="Times New Roman" w:hAnsi="Times New Roman" w:cs="Times New Roman"/>
          <w:sz w:val="24"/>
          <w:szCs w:val="24"/>
        </w:rPr>
      </w:pPr>
    </w:p>
    <w:p w14:paraId="246A7E11" w14:textId="77777777" w:rsidR="00534116" w:rsidRPr="006F6800" w:rsidRDefault="00534116" w:rsidP="006F6800">
      <w:pPr>
        <w:ind w:right="-1" w:firstLine="709"/>
        <w:jc w:val="both"/>
        <w:rPr>
          <w:rFonts w:ascii="Times New Roman" w:hAnsi="Times New Roman" w:cs="Times New Roman"/>
          <w:sz w:val="24"/>
          <w:szCs w:val="24"/>
        </w:rPr>
      </w:pPr>
    </w:p>
    <w:p w14:paraId="247310E5" w14:textId="77777777" w:rsidR="00534116" w:rsidRPr="006F6800" w:rsidRDefault="00534116" w:rsidP="006F6800">
      <w:pPr>
        <w:ind w:right="-1"/>
        <w:rPr>
          <w:rFonts w:ascii="Times New Roman" w:hAnsi="Times New Roman" w:cs="Times New Roman"/>
          <w:sz w:val="24"/>
          <w:szCs w:val="24"/>
        </w:rPr>
      </w:pPr>
    </w:p>
    <w:p w14:paraId="6D5BD5F0" w14:textId="77777777" w:rsidR="00534116" w:rsidRPr="006F6800" w:rsidRDefault="00534116" w:rsidP="006F6800">
      <w:pPr>
        <w:ind w:right="-1"/>
        <w:rPr>
          <w:rFonts w:ascii="Times New Roman" w:hAnsi="Times New Roman" w:cs="Times New Roman"/>
          <w:sz w:val="24"/>
          <w:szCs w:val="24"/>
        </w:rPr>
      </w:pPr>
    </w:p>
    <w:p w14:paraId="0880E64B"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72F30010"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0B6F7A5"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5DB965DF"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2CB3A129"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13B8E5E0"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32C6C40F"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04D48FA8"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7EDC67F1"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70535DDC"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93C8DC9"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67FA7482"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5A422C82"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53073ADE"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20995429"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37BA7409"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7BCCAD45"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49565681"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38AF0A2B" w14:textId="77777777" w:rsidR="006F6800" w:rsidRDefault="006F6800" w:rsidP="006F6800">
      <w:pPr>
        <w:tabs>
          <w:tab w:val="left" w:pos="9314"/>
        </w:tabs>
        <w:ind w:right="-1" w:firstLine="709"/>
        <w:jc w:val="right"/>
        <w:rPr>
          <w:rFonts w:ascii="Times New Roman" w:hAnsi="Times New Roman" w:cs="Times New Roman"/>
          <w:iCs/>
          <w:sz w:val="24"/>
          <w:szCs w:val="24"/>
        </w:rPr>
      </w:pPr>
    </w:p>
    <w:p w14:paraId="772B5397" w14:textId="10416AE8" w:rsidR="00534116" w:rsidRPr="006F6800" w:rsidRDefault="00534116" w:rsidP="006F6800">
      <w:pPr>
        <w:tabs>
          <w:tab w:val="left" w:pos="9314"/>
        </w:tabs>
        <w:ind w:right="-1" w:firstLine="709"/>
        <w:jc w:val="right"/>
        <w:rPr>
          <w:rFonts w:ascii="Times New Roman" w:hAnsi="Times New Roman" w:cs="Times New Roman"/>
          <w:iCs/>
          <w:sz w:val="24"/>
          <w:szCs w:val="24"/>
        </w:rPr>
      </w:pPr>
      <w:r w:rsidRPr="006F6800">
        <w:rPr>
          <w:rFonts w:ascii="Times New Roman" w:hAnsi="Times New Roman" w:cs="Times New Roman"/>
          <w:iCs/>
          <w:sz w:val="24"/>
          <w:szCs w:val="24"/>
        </w:rPr>
        <w:lastRenderedPageBreak/>
        <w:t>Apendicele nr. 2</w:t>
      </w:r>
    </w:p>
    <w:p w14:paraId="5432CE5A" w14:textId="77777777" w:rsidR="00534116" w:rsidRPr="006F6800" w:rsidRDefault="00534116" w:rsidP="006F6800">
      <w:pPr>
        <w:ind w:right="-1" w:firstLine="709"/>
        <w:jc w:val="right"/>
        <w:rPr>
          <w:rFonts w:ascii="Times New Roman" w:hAnsi="Times New Roman" w:cs="Times New Roman"/>
          <w:iCs/>
          <w:sz w:val="24"/>
          <w:szCs w:val="24"/>
          <w:vertAlign w:val="superscript"/>
        </w:rPr>
      </w:pPr>
      <w:r w:rsidRPr="006F6800">
        <w:rPr>
          <w:rFonts w:ascii="Times New Roman" w:hAnsi="Times New Roman" w:cs="Times New Roman"/>
          <w:iCs/>
          <w:sz w:val="24"/>
          <w:szCs w:val="24"/>
        </w:rPr>
        <w:t>la Anexa nr. 9</w:t>
      </w:r>
      <w:r w:rsidRPr="006F6800">
        <w:rPr>
          <w:rFonts w:ascii="Times New Roman" w:hAnsi="Times New Roman" w:cs="Times New Roman"/>
          <w:iCs/>
          <w:sz w:val="24"/>
          <w:szCs w:val="24"/>
          <w:vertAlign w:val="superscript"/>
        </w:rPr>
        <w:t>1</w:t>
      </w:r>
    </w:p>
    <w:p w14:paraId="3C232E55" w14:textId="77777777" w:rsidR="00534116" w:rsidRPr="006F6800" w:rsidRDefault="00534116" w:rsidP="006F6800">
      <w:pPr>
        <w:ind w:right="-1" w:firstLine="709"/>
        <w:jc w:val="right"/>
        <w:rPr>
          <w:rFonts w:ascii="Times New Roman" w:eastAsia="Algerian" w:hAnsi="Times New Roman" w:cs="Times New Roman"/>
          <w:iCs/>
          <w:color w:val="000000" w:themeColor="text1"/>
          <w:sz w:val="24"/>
          <w:szCs w:val="24"/>
        </w:rPr>
      </w:pPr>
      <w:r w:rsidRPr="006F6800">
        <w:rPr>
          <w:rFonts w:ascii="Times New Roman" w:eastAsia="Algerian" w:hAnsi="Times New Roman" w:cs="Times New Roman"/>
          <w:iCs/>
          <w:color w:val="000000" w:themeColor="text1"/>
          <w:sz w:val="24"/>
          <w:szCs w:val="24"/>
        </w:rPr>
        <w:t xml:space="preserve">la Regulamentul privind raportarea, </w:t>
      </w:r>
    </w:p>
    <w:p w14:paraId="2CB55257" w14:textId="77777777" w:rsidR="00534116" w:rsidRPr="006F6800" w:rsidRDefault="00534116" w:rsidP="006F6800">
      <w:pPr>
        <w:ind w:right="-1" w:firstLine="709"/>
        <w:jc w:val="right"/>
        <w:rPr>
          <w:rFonts w:ascii="Times New Roman" w:eastAsia="Algerian" w:hAnsi="Times New Roman" w:cs="Times New Roman"/>
          <w:iCs/>
          <w:color w:val="000000" w:themeColor="text1"/>
          <w:sz w:val="24"/>
          <w:szCs w:val="24"/>
        </w:rPr>
      </w:pPr>
      <w:r w:rsidRPr="006F6800">
        <w:rPr>
          <w:rFonts w:ascii="Times New Roman" w:eastAsia="Algerian" w:hAnsi="Times New Roman" w:cs="Times New Roman"/>
          <w:iCs/>
          <w:color w:val="000000" w:themeColor="text1"/>
          <w:sz w:val="24"/>
          <w:szCs w:val="24"/>
        </w:rPr>
        <w:t>analiza şi acţiunile subsecvente cu</w:t>
      </w:r>
    </w:p>
    <w:p w14:paraId="432496D1" w14:textId="77777777" w:rsidR="00534116" w:rsidRPr="006F6800" w:rsidRDefault="00534116" w:rsidP="006F6800">
      <w:pPr>
        <w:ind w:right="-1" w:firstLine="709"/>
        <w:jc w:val="right"/>
        <w:rPr>
          <w:rFonts w:ascii="Times New Roman" w:hAnsi="Times New Roman" w:cs="Times New Roman"/>
          <w:sz w:val="24"/>
          <w:szCs w:val="24"/>
        </w:rPr>
      </w:pPr>
      <w:r w:rsidRPr="006F6800">
        <w:rPr>
          <w:rFonts w:ascii="Times New Roman" w:eastAsia="Algerian" w:hAnsi="Times New Roman" w:cs="Times New Roman"/>
          <w:iCs/>
          <w:color w:val="000000" w:themeColor="text1"/>
          <w:sz w:val="24"/>
          <w:szCs w:val="24"/>
        </w:rPr>
        <w:t xml:space="preserve"> privire la evenimentele de aviaţie civilă</w:t>
      </w:r>
    </w:p>
    <w:p w14:paraId="6DBAA724" w14:textId="77777777" w:rsidR="00534116" w:rsidRPr="006F6800" w:rsidRDefault="00534116" w:rsidP="006F6800">
      <w:pPr>
        <w:ind w:right="-1" w:firstLine="709"/>
        <w:jc w:val="center"/>
        <w:rPr>
          <w:rFonts w:ascii="Times New Roman" w:hAnsi="Times New Roman" w:cs="Times New Roman"/>
          <w:b/>
          <w:bCs/>
          <w:sz w:val="24"/>
          <w:szCs w:val="24"/>
        </w:rPr>
      </w:pPr>
    </w:p>
    <w:p w14:paraId="2CAAFA67" w14:textId="77777777" w:rsidR="00534116" w:rsidRPr="006F6800" w:rsidRDefault="00534116" w:rsidP="006F6800">
      <w:pPr>
        <w:ind w:right="-1" w:firstLine="709"/>
        <w:jc w:val="center"/>
        <w:rPr>
          <w:rFonts w:ascii="Times New Roman" w:hAnsi="Times New Roman" w:cs="Times New Roman"/>
          <w:b/>
          <w:bCs/>
          <w:sz w:val="24"/>
          <w:szCs w:val="24"/>
        </w:rPr>
      </w:pPr>
    </w:p>
    <w:p w14:paraId="365511AB" w14:textId="77777777" w:rsidR="00534116" w:rsidRPr="006F6800" w:rsidRDefault="00534116" w:rsidP="006F6800">
      <w:pPr>
        <w:ind w:right="-1" w:firstLine="709"/>
        <w:jc w:val="center"/>
        <w:rPr>
          <w:rFonts w:ascii="Times New Roman" w:hAnsi="Times New Roman" w:cs="Times New Roman"/>
          <w:b/>
          <w:bCs/>
          <w:sz w:val="24"/>
          <w:szCs w:val="24"/>
        </w:rPr>
      </w:pPr>
      <w:r w:rsidRPr="006F6800">
        <w:rPr>
          <w:rFonts w:ascii="Times New Roman" w:hAnsi="Times New Roman" w:cs="Times New Roman"/>
          <w:b/>
          <w:bCs/>
          <w:sz w:val="24"/>
          <w:szCs w:val="24"/>
        </w:rPr>
        <w:t>Proceduri de conversie a punctajelor atribuite conform metodelor RAT (</w:t>
      </w:r>
      <w:r w:rsidRPr="006F6800">
        <w:rPr>
          <w:rFonts w:ascii="Times New Roman" w:hAnsi="Times New Roman" w:cs="Times New Roman"/>
          <w:b/>
          <w:bCs/>
          <w:i/>
          <w:iCs/>
          <w:sz w:val="24"/>
          <w:szCs w:val="24"/>
        </w:rPr>
        <w:t>Risk Analysis Tool</w:t>
      </w:r>
      <w:r w:rsidRPr="006F6800">
        <w:rPr>
          <w:rFonts w:ascii="Times New Roman" w:hAnsi="Times New Roman" w:cs="Times New Roman"/>
          <w:b/>
          <w:bCs/>
          <w:sz w:val="24"/>
          <w:szCs w:val="24"/>
        </w:rPr>
        <w:t>) și ARMS-ERC (</w:t>
      </w:r>
      <w:r w:rsidRPr="006F6800">
        <w:rPr>
          <w:rFonts w:ascii="Times New Roman" w:hAnsi="Times New Roman" w:cs="Times New Roman"/>
          <w:b/>
          <w:bCs/>
          <w:i/>
          <w:iCs/>
          <w:sz w:val="24"/>
          <w:szCs w:val="24"/>
        </w:rPr>
        <w:t>Aviation Risk Management Solutions – Event Risk Classification</w:t>
      </w:r>
      <w:r w:rsidRPr="006F6800">
        <w:rPr>
          <w:rFonts w:ascii="Times New Roman" w:hAnsi="Times New Roman" w:cs="Times New Roman"/>
          <w:b/>
          <w:bCs/>
          <w:sz w:val="24"/>
          <w:szCs w:val="24"/>
        </w:rPr>
        <w:t>) în punctaje ERCS (</w:t>
      </w:r>
      <w:r w:rsidRPr="006F6800">
        <w:rPr>
          <w:rFonts w:ascii="Times New Roman" w:hAnsi="Times New Roman" w:cs="Times New Roman"/>
          <w:b/>
          <w:bCs/>
          <w:i/>
          <w:iCs/>
          <w:sz w:val="24"/>
          <w:szCs w:val="24"/>
        </w:rPr>
        <w:t>European Risk Classification Scheme</w:t>
      </w:r>
      <w:r w:rsidRPr="006F6800">
        <w:rPr>
          <w:rFonts w:ascii="Times New Roman" w:hAnsi="Times New Roman" w:cs="Times New Roman"/>
          <w:b/>
          <w:bCs/>
          <w:sz w:val="24"/>
          <w:szCs w:val="24"/>
        </w:rPr>
        <w:t>)</w:t>
      </w:r>
    </w:p>
    <w:p w14:paraId="78939533" w14:textId="77777777" w:rsidR="00534116" w:rsidRPr="006F6800" w:rsidRDefault="00534116" w:rsidP="006F6800">
      <w:pPr>
        <w:ind w:right="-1" w:firstLine="709"/>
        <w:rPr>
          <w:rFonts w:ascii="Times New Roman" w:hAnsi="Times New Roman" w:cs="Times New Roman"/>
          <w:b/>
          <w:bCs/>
          <w:sz w:val="24"/>
          <w:szCs w:val="24"/>
        </w:rPr>
      </w:pPr>
    </w:p>
    <w:p w14:paraId="50CFBBB0"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Apendicele nr. 2 stabilește proceduri de conversie a punctajelor RAT și ARMS-ERC în punctajul ERCS definit în etapa 2 din Apendicele nr. 1 la prezenta Anexă. Punctajul ERCS este o valoare din două poziții, prima poziție corespunzând valorii alfabetice rezultate din calculul gravității evenimentului (punctaj de gravitate de la A la X), iar a doua poziție reprezentând valoarea numerică obținută din calculul punctajului corespunzător al evenimentului (probabilitate).</w:t>
      </w:r>
    </w:p>
    <w:p w14:paraId="229E4E39"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Următoarele proceduri de conversie oferă fie o conversie directă, fie o conversie manuală pentru a obține o clasificare ERCS echivalentă cu punctajele RAT și/sau ARMS-ERC în conformitate cu punctul 3 și 4 din Anexa nr. 9</w:t>
      </w:r>
      <w:r w:rsidRPr="006F6800">
        <w:rPr>
          <w:rFonts w:ascii="Times New Roman" w:hAnsi="Times New Roman" w:cs="Times New Roman"/>
          <w:sz w:val="24"/>
          <w:szCs w:val="24"/>
          <w:vertAlign w:val="superscript"/>
        </w:rPr>
        <w:t>1</w:t>
      </w:r>
      <w:r w:rsidRPr="006F6800">
        <w:rPr>
          <w:rFonts w:ascii="Times New Roman" w:hAnsi="Times New Roman" w:cs="Times New Roman"/>
          <w:sz w:val="24"/>
          <w:szCs w:val="24"/>
        </w:rPr>
        <w:t>.</w:t>
      </w:r>
    </w:p>
    <w:p w14:paraId="5A7E8E1F"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b/>
          <w:bCs/>
          <w:sz w:val="24"/>
          <w:szCs w:val="24"/>
        </w:rPr>
        <w:t>1.   CONVERSIE DIRECTĂ</w:t>
      </w:r>
    </w:p>
    <w:p w14:paraId="7A75F5B7"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Procedura de conversie obligatorie constă în următoarele două fluxuri de lucru:</w:t>
      </w:r>
    </w:p>
    <w:p w14:paraId="1A605735"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eastAsia="Times New Roman" w:hAnsi="Times New Roman" w:cs="Times New Roman"/>
          <w:sz w:val="24"/>
          <w:szCs w:val="24"/>
        </w:rPr>
        <w:t>- fluxul 1 – realizează o conversie directă pentru a obține punctajul de gravitate ERCS;</w:t>
      </w:r>
    </w:p>
    <w:p w14:paraId="7CFE4B1E"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eastAsia="Times New Roman" w:hAnsi="Times New Roman" w:cs="Times New Roman"/>
          <w:sz w:val="24"/>
          <w:szCs w:val="24"/>
        </w:rPr>
        <w:t>- fluxul 2 – realizează o conversie directă pentru a obține punctajul de probabilitate ERCS.</w:t>
      </w:r>
    </w:p>
    <w:p w14:paraId="5BD5853A" w14:textId="77777777" w:rsidR="00534116" w:rsidRPr="006F6800" w:rsidRDefault="00534116" w:rsidP="006F6800">
      <w:pPr>
        <w:spacing w:line="312" w:lineRule="atLeast"/>
        <w:ind w:right="-1" w:firstLine="709"/>
        <w:jc w:val="both"/>
        <w:rPr>
          <w:rFonts w:ascii="Times New Roman" w:eastAsia="Times New Roman" w:hAnsi="Times New Roman" w:cs="Times New Roman"/>
          <w:sz w:val="24"/>
          <w:szCs w:val="24"/>
        </w:rPr>
      </w:pPr>
      <w:r w:rsidRPr="006F6800">
        <w:rPr>
          <w:rFonts w:ascii="Times New Roman" w:eastAsia="Times New Roman" w:hAnsi="Times New Roman" w:cs="Times New Roman"/>
          <w:sz w:val="24"/>
          <w:szCs w:val="24"/>
        </w:rPr>
        <w:t>În figura 1 se face o prezentare generală a procedurii. Punctul de plecare al procesului este caseta „Raportul de eveniment depus” și caseta de rezultat „Punctaj echivalent ERCS”. Liniile punctate din figura 1 indică faptul că pentru fiecare proces este necesară o singură sursă.</w:t>
      </w:r>
    </w:p>
    <w:p w14:paraId="2964F0D1" w14:textId="77777777" w:rsidR="00534116" w:rsidRPr="006F6800" w:rsidRDefault="00534116" w:rsidP="006F6800">
      <w:pPr>
        <w:ind w:right="-1" w:firstLine="709"/>
        <w:jc w:val="both"/>
        <w:rPr>
          <w:rFonts w:ascii="Times New Roman" w:hAnsi="Times New Roman" w:cs="Times New Roman"/>
          <w:sz w:val="24"/>
          <w:szCs w:val="24"/>
        </w:rPr>
      </w:pPr>
    </w:p>
    <w:p w14:paraId="2077473D" w14:textId="77777777" w:rsidR="00534116" w:rsidRPr="006F6800" w:rsidRDefault="00534116" w:rsidP="006F6800">
      <w:pPr>
        <w:ind w:right="-1"/>
        <w:jc w:val="center"/>
        <w:rPr>
          <w:rFonts w:ascii="Times New Roman" w:hAnsi="Times New Roman" w:cs="Times New Roman"/>
          <w:sz w:val="24"/>
          <w:szCs w:val="24"/>
        </w:rPr>
      </w:pPr>
      <w:r w:rsidRPr="006F6800">
        <w:rPr>
          <w:rFonts w:ascii="Times New Roman" w:hAnsi="Times New Roman" w:cs="Times New Roman"/>
          <w:sz w:val="24"/>
          <w:szCs w:val="24"/>
          <w:lang w:val="en-US"/>
        </w:rPr>
        <w:lastRenderedPageBreak/>
        <w:drawing>
          <wp:inline distT="0" distB="0" distL="0" distR="0" wp14:anchorId="7B9D2B6D" wp14:editId="628F1EEB">
            <wp:extent cx="6429375" cy="4943475"/>
            <wp:effectExtent l="0" t="0" r="9525" b="9525"/>
            <wp:docPr id="1006610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4943475"/>
                    </a:xfrm>
                    <a:prstGeom prst="rect">
                      <a:avLst/>
                    </a:prstGeom>
                    <a:noFill/>
                    <a:ln>
                      <a:noFill/>
                    </a:ln>
                  </pic:spPr>
                </pic:pic>
              </a:graphicData>
            </a:graphic>
          </wp:inline>
        </w:drawing>
      </w:r>
    </w:p>
    <w:p w14:paraId="1AF4A350" w14:textId="77777777" w:rsidR="00534116" w:rsidRPr="006F6800" w:rsidRDefault="00534116" w:rsidP="006F6800">
      <w:pPr>
        <w:ind w:right="-1" w:firstLine="709"/>
        <w:rPr>
          <w:rFonts w:ascii="Times New Roman" w:hAnsi="Times New Roman" w:cs="Times New Roman"/>
          <w:i/>
          <w:iCs/>
          <w:sz w:val="24"/>
          <w:szCs w:val="24"/>
        </w:rPr>
      </w:pPr>
      <w:r w:rsidRPr="006F6800">
        <w:rPr>
          <w:rFonts w:ascii="Times New Roman" w:hAnsi="Times New Roman" w:cs="Times New Roman"/>
          <w:i/>
          <w:iCs/>
          <w:sz w:val="24"/>
          <w:szCs w:val="24"/>
        </w:rPr>
        <w:t>Figura 1 Proceduri de conversie</w:t>
      </w:r>
    </w:p>
    <w:p w14:paraId="3629F7B9" w14:textId="77777777" w:rsidR="00534116" w:rsidRPr="006F6800" w:rsidRDefault="00534116" w:rsidP="006F6800">
      <w:pPr>
        <w:ind w:right="-1" w:firstLine="709"/>
        <w:rPr>
          <w:rFonts w:ascii="Times New Roman" w:hAnsi="Times New Roman" w:cs="Times New Roman"/>
          <w:sz w:val="24"/>
          <w:szCs w:val="24"/>
        </w:rPr>
      </w:pPr>
    </w:p>
    <w:p w14:paraId="03114EE0" w14:textId="77777777" w:rsidR="00534116" w:rsidRPr="006F6800" w:rsidRDefault="00534116" w:rsidP="006F6800">
      <w:pPr>
        <w:ind w:right="-1"/>
        <w:rPr>
          <w:rFonts w:ascii="Times New Roman" w:hAnsi="Times New Roman" w:cs="Times New Roman"/>
          <w:sz w:val="24"/>
          <w:szCs w:val="24"/>
        </w:rPr>
      </w:pPr>
    </w:p>
    <w:p w14:paraId="4A0B929C" w14:textId="77777777" w:rsidR="00534116" w:rsidRPr="006F6800" w:rsidRDefault="00534116" w:rsidP="006F6800">
      <w:pPr>
        <w:ind w:right="-1" w:firstLine="709"/>
        <w:rPr>
          <w:rFonts w:ascii="Times New Roman" w:hAnsi="Times New Roman" w:cs="Times New Roman"/>
          <w:b/>
          <w:bCs/>
          <w:i/>
          <w:iCs/>
          <w:sz w:val="24"/>
          <w:szCs w:val="24"/>
        </w:rPr>
      </w:pPr>
      <w:r w:rsidRPr="006F6800">
        <w:rPr>
          <w:rFonts w:ascii="Times New Roman" w:hAnsi="Times New Roman" w:cs="Times New Roman"/>
          <w:b/>
          <w:bCs/>
          <w:i/>
          <w:iCs/>
          <w:sz w:val="24"/>
          <w:szCs w:val="24"/>
        </w:rPr>
        <w:t>1.1. FLUXUL DE LUCRU 1 – Punctajul de gravitate ERCS</w:t>
      </w:r>
    </w:p>
    <w:p w14:paraId="72A8AB11" w14:textId="77777777" w:rsidR="00534116" w:rsidRPr="006F6800" w:rsidRDefault="00534116" w:rsidP="006F6800">
      <w:pPr>
        <w:ind w:right="-1" w:firstLine="709"/>
        <w:rPr>
          <w:rFonts w:ascii="Times New Roman" w:hAnsi="Times New Roman" w:cs="Times New Roman"/>
          <w:sz w:val="24"/>
          <w:szCs w:val="24"/>
        </w:rPr>
      </w:pPr>
      <w:r w:rsidRPr="006F6800">
        <w:rPr>
          <w:rFonts w:ascii="Times New Roman" w:hAnsi="Times New Roman" w:cs="Times New Roman"/>
          <w:b/>
          <w:bCs/>
          <w:sz w:val="24"/>
          <w:szCs w:val="24"/>
        </w:rPr>
        <w:t>a.   Informații privind „Categoria evenimentelor” și „Grupa de masă”</w:t>
      </w:r>
    </w:p>
    <w:p w14:paraId="4BB793D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În cazul în care raportul de eveniment conține informații privind „categoria evenimentului” și „grupa de masă”, acestea pot fi convertite în punctajul ERCS „Gravitatea rezultatului de accident potențial”. Etapa următoare este litera b din figura 1.</w:t>
      </w:r>
    </w:p>
    <w:p w14:paraId="5CAFE298"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În cazul în care raportul de eveniment nu conține informații cu privire la „categoria evenimentului”, la „grupa de masă” sau la niciuna dintre acestea, conversia directă nu este posibilă. Dacă se utilizează conversia manuală descrisă la punctul 2 din prezenta anexă, următoarea etapă este D din figurile 1 și 5.</w:t>
      </w:r>
    </w:p>
    <w:p w14:paraId="6294B73C" w14:textId="77777777" w:rsidR="00534116" w:rsidRPr="006F6800" w:rsidRDefault="00534116" w:rsidP="006F6800">
      <w:pPr>
        <w:spacing w:line="312" w:lineRule="atLeast"/>
        <w:ind w:right="-1" w:firstLine="709"/>
        <w:rPr>
          <w:rFonts w:ascii="Times New Roman" w:eastAsia="Times New Roman" w:hAnsi="Times New Roman" w:cs="Times New Roman"/>
          <w:b/>
          <w:bCs/>
          <w:sz w:val="24"/>
          <w:szCs w:val="24"/>
        </w:rPr>
      </w:pPr>
      <w:r w:rsidRPr="006F6800">
        <w:rPr>
          <w:rFonts w:ascii="Times New Roman" w:eastAsia="Times New Roman" w:hAnsi="Times New Roman" w:cs="Times New Roman"/>
          <w:b/>
          <w:bCs/>
          <w:sz w:val="24"/>
          <w:szCs w:val="24"/>
        </w:rPr>
        <w:t>b.   Conversia „Categoriei evenimentului” și a domeniului de risc principal (KRA – </w:t>
      </w:r>
      <w:r w:rsidRPr="006F6800">
        <w:rPr>
          <w:rFonts w:ascii="Times New Roman" w:eastAsia="Times New Roman" w:hAnsi="Times New Roman" w:cs="Times New Roman"/>
          <w:b/>
          <w:bCs/>
          <w:i/>
          <w:iCs/>
          <w:sz w:val="24"/>
          <w:szCs w:val="24"/>
        </w:rPr>
        <w:t>Key Risk Area</w:t>
      </w:r>
      <w:r w:rsidRPr="006F6800">
        <w:rPr>
          <w:rFonts w:ascii="Times New Roman" w:eastAsia="Times New Roman" w:hAnsi="Times New Roman" w:cs="Times New Roman"/>
          <w:b/>
          <w:bCs/>
          <w:sz w:val="24"/>
          <w:szCs w:val="24"/>
        </w:rPr>
        <w:t>)</w:t>
      </w:r>
    </w:p>
    <w:p w14:paraId="7E4666B7"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În cazul în care „categoria evenimentului” din raportul de eveniment corespunde direct unui domeniu de risc principal ERCS definit la sbp. 1.2. din anexa 1 la prezentul Regulament, etapa următoare este litera c din figura 1.</w:t>
      </w:r>
    </w:p>
    <w:p w14:paraId="6DDF663A"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 La rapoartele de eveniment care conțin „categorii de evenimente” diferite de domeniile de risc principal ERCS, nu se face conversia directă. Dacă se utilizează conversia manuală descrisă la punctul 2 din prezenta anexă, următoarea etapă este D din figurile 1 și 5.</w:t>
      </w:r>
    </w:p>
    <w:p w14:paraId="2E61A0B4" w14:textId="77777777" w:rsidR="00534116" w:rsidRPr="006F6800" w:rsidRDefault="00534116" w:rsidP="006F6800">
      <w:pPr>
        <w:spacing w:line="312" w:lineRule="atLeast"/>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c.   Punctajul ERCS „gravitatea rezultatului de accident potențial” – conversie directă</w:t>
      </w:r>
    </w:p>
    <w:p w14:paraId="725EE6F0"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lastRenderedPageBreak/>
        <w:t>- În cazul în care raportul de eveniment conține informații despre „categoria evenimentului” și „grupa de masă”, punctajul de gravitate este convertit direct într-un punctaj ERCS corespunzător – „gravitatea rezultatului de accident potențial”. Rezultatul este k, care reprezintă prima poziție corespunzătoare valorii alfabetice rezultate din calculul gravității evenimentului (punctaj de gravitate de la A la X).</w:t>
      </w:r>
    </w:p>
    <w:p w14:paraId="36DD3F48" w14:textId="77777777" w:rsidR="00534116" w:rsidRPr="006F6800" w:rsidRDefault="00534116" w:rsidP="006F6800">
      <w:pPr>
        <w:ind w:right="-1" w:firstLine="709"/>
        <w:jc w:val="both"/>
        <w:rPr>
          <w:rFonts w:ascii="Times New Roman" w:hAnsi="Times New Roman" w:cs="Times New Roman"/>
          <w:b/>
          <w:bCs/>
          <w:i/>
          <w:iCs/>
          <w:sz w:val="24"/>
          <w:szCs w:val="24"/>
        </w:rPr>
      </w:pPr>
      <w:r w:rsidRPr="006F6800">
        <w:rPr>
          <w:rFonts w:ascii="Times New Roman" w:hAnsi="Times New Roman" w:cs="Times New Roman"/>
          <w:b/>
          <w:bCs/>
          <w:i/>
          <w:iCs/>
          <w:sz w:val="24"/>
          <w:szCs w:val="24"/>
        </w:rPr>
        <w:t>1.2. FLUXUL DE LUCRU 2 – punctajul de probabilitate ERCS</w:t>
      </w:r>
    </w:p>
    <w:p w14:paraId="5E187A21" w14:textId="77777777" w:rsidR="00534116" w:rsidRPr="006F6800" w:rsidRDefault="00534116" w:rsidP="006F6800">
      <w:pPr>
        <w:ind w:right="-1" w:firstLine="709"/>
        <w:jc w:val="both"/>
        <w:rPr>
          <w:rFonts w:ascii="Times New Roman" w:eastAsia="Times New Roman" w:hAnsi="Times New Roman" w:cs="Times New Roman"/>
          <w:b/>
          <w:bCs/>
          <w:sz w:val="24"/>
          <w:szCs w:val="24"/>
        </w:rPr>
      </w:pPr>
      <w:r w:rsidRPr="006F6800">
        <w:rPr>
          <w:rFonts w:ascii="Times New Roman" w:eastAsia="Times New Roman" w:hAnsi="Times New Roman" w:cs="Times New Roman"/>
          <w:b/>
          <w:bCs/>
          <w:sz w:val="24"/>
          <w:szCs w:val="24"/>
        </w:rPr>
        <w:t>d.   Raportul de eveniment căruia i s-a acordat punctajul prin RAT</w:t>
      </w:r>
    </w:p>
    <w:p w14:paraId="12564E6B" w14:textId="77777777" w:rsidR="00534116" w:rsidRPr="006F6800" w:rsidRDefault="00534116" w:rsidP="006F6800">
      <w:pPr>
        <w:spacing w:line="312" w:lineRule="atLeast"/>
        <w:ind w:right="-1" w:firstLine="709"/>
        <w:jc w:val="both"/>
        <w:rPr>
          <w:rFonts w:ascii="Times New Roman" w:eastAsia="Times New Roman" w:hAnsi="Times New Roman" w:cs="Times New Roman"/>
          <w:b/>
          <w:bCs/>
          <w:sz w:val="24"/>
          <w:szCs w:val="24"/>
        </w:rPr>
      </w:pPr>
      <w:r w:rsidRPr="006F6800">
        <w:rPr>
          <w:rFonts w:ascii="Times New Roman" w:eastAsia="Times New Roman" w:hAnsi="Times New Roman" w:cs="Times New Roman"/>
          <w:sz w:val="24"/>
          <w:szCs w:val="24"/>
        </w:rPr>
        <w:t>Dacă raportului de eveniment i s-a acordat un punctaj prin utilizarea metodologiei RAT:</w:t>
      </w:r>
    </w:p>
    <w:p w14:paraId="140B14BF" w14:textId="77777777" w:rsidR="00534116" w:rsidRPr="006F6800" w:rsidRDefault="00534116" w:rsidP="006F6800">
      <w:pPr>
        <w:widowControl/>
        <w:spacing w:line="312" w:lineRule="atLeast"/>
        <w:ind w:right="-1" w:firstLine="709"/>
        <w:contextualSpacing/>
        <w:jc w:val="both"/>
        <w:rPr>
          <w:rFonts w:ascii="Times New Roman" w:eastAsia="Times New Roman" w:hAnsi="Times New Roman" w:cs="Times New Roman"/>
          <w:b/>
          <w:bCs/>
          <w:sz w:val="24"/>
          <w:szCs w:val="24"/>
        </w:rPr>
      </w:pPr>
      <w:r w:rsidRPr="006F6800">
        <w:rPr>
          <w:rFonts w:ascii="Times New Roman" w:eastAsia="Times New Roman" w:hAnsi="Times New Roman" w:cs="Times New Roman"/>
          <w:sz w:val="24"/>
          <w:szCs w:val="24"/>
        </w:rPr>
        <w:t>- Rapoartele de eveniment care sunt însoțite de un clasament în funcție de punctajul de gravitate RAT „ATM global” pot fi introduse direct în coloanele ERCS referitoare la probabilitate, după cum se explică la litera g din figura 1;</w:t>
      </w:r>
    </w:p>
    <w:p w14:paraId="0827ADDF" w14:textId="77777777" w:rsidR="00534116" w:rsidRPr="006F6800" w:rsidRDefault="00534116" w:rsidP="006F6800">
      <w:pPr>
        <w:widowControl/>
        <w:spacing w:line="312" w:lineRule="atLeast"/>
        <w:ind w:right="-1" w:firstLine="709"/>
        <w:contextualSpacing/>
        <w:jc w:val="both"/>
        <w:rPr>
          <w:rFonts w:ascii="Times New Roman" w:eastAsia="Times New Roman" w:hAnsi="Times New Roman" w:cs="Times New Roman"/>
          <w:sz w:val="24"/>
          <w:szCs w:val="24"/>
        </w:rPr>
      </w:pPr>
      <w:r w:rsidRPr="006F6800">
        <w:rPr>
          <w:rFonts w:ascii="Times New Roman" w:eastAsia="Times New Roman" w:hAnsi="Times New Roman" w:cs="Times New Roman"/>
          <w:sz w:val="24"/>
          <w:szCs w:val="24"/>
        </w:rPr>
        <w:t>- Rapoartele de eveniment care au doar un punctaj de gravitate „ATM sol” trebuie să fie convertite manual pentru a furniza punctajul de probabilitate ERCS. Dacă se utilizează conversia manuală descrisă la punctul 2 din prezenta anexă, următoarea etapă este L din figura 5.</w:t>
      </w:r>
    </w:p>
    <w:p w14:paraId="7545E640" w14:textId="77777777" w:rsidR="00534116" w:rsidRPr="006F6800" w:rsidRDefault="00534116" w:rsidP="006F6800">
      <w:pPr>
        <w:widowControl/>
        <w:spacing w:line="312" w:lineRule="atLeast"/>
        <w:ind w:right="-1" w:firstLine="709"/>
        <w:contextualSpacing/>
        <w:jc w:val="both"/>
        <w:rPr>
          <w:rFonts w:ascii="Times New Roman" w:eastAsia="Times New Roman" w:hAnsi="Times New Roman" w:cs="Times New Roman"/>
          <w:b/>
          <w:bCs/>
          <w:sz w:val="24"/>
          <w:szCs w:val="24"/>
        </w:rPr>
      </w:pPr>
      <w:r w:rsidRPr="006F6800">
        <w:rPr>
          <w:rFonts w:ascii="Times New Roman" w:eastAsia="Times New Roman" w:hAnsi="Times New Roman" w:cs="Times New Roman"/>
          <w:sz w:val="24"/>
          <w:szCs w:val="24"/>
        </w:rPr>
        <w:t>„Gravitatea” din cadrul metodologiei RAT indică gradul de gravitate al evenimentului respectiv în comparație cu alte evenimente. Metodologia RAT stabilește „gravitatea” prin intermediul unei evaluări a apărărilor/barierelor.</w:t>
      </w:r>
    </w:p>
    <w:p w14:paraId="159F25D4" w14:textId="77777777" w:rsidR="00534116" w:rsidRPr="006F6800" w:rsidRDefault="00534116" w:rsidP="006F6800">
      <w:pPr>
        <w:widowControl/>
        <w:spacing w:line="312" w:lineRule="atLeast"/>
        <w:ind w:right="-1" w:firstLine="709"/>
        <w:contextualSpacing/>
        <w:jc w:val="both"/>
        <w:rPr>
          <w:rFonts w:ascii="Times New Roman" w:hAnsi="Times New Roman" w:cs="Times New Roman"/>
          <w:sz w:val="24"/>
          <w:szCs w:val="24"/>
        </w:rPr>
      </w:pPr>
      <w:r w:rsidRPr="006F6800">
        <w:rPr>
          <w:rFonts w:ascii="Times New Roman" w:eastAsia="Times New Roman" w:hAnsi="Times New Roman" w:cs="Times New Roman"/>
          <w:sz w:val="24"/>
          <w:szCs w:val="24"/>
        </w:rPr>
        <w:t>- În cazul rapoartelor de eveniment codificate ca „evenimente specifice ATM”, nu este posibilă conversia între punctajele RAT și ERCS.</w:t>
      </w:r>
      <w:r w:rsidRPr="006F6800">
        <w:rPr>
          <w:rFonts w:ascii="Times New Roman" w:hAnsi="Times New Roman" w:cs="Times New Roman"/>
          <w:sz w:val="24"/>
          <w:szCs w:val="24"/>
        </w:rPr>
        <w:t xml:space="preserve"> </w:t>
      </w:r>
    </w:p>
    <w:p w14:paraId="157B042B" w14:textId="77777777" w:rsidR="00534116" w:rsidRPr="006F6800" w:rsidRDefault="00534116" w:rsidP="006F6800">
      <w:pPr>
        <w:widowControl/>
        <w:spacing w:line="312" w:lineRule="atLeast"/>
        <w:ind w:right="-1" w:firstLine="709"/>
        <w:contextualSpacing/>
        <w:jc w:val="both"/>
        <w:rPr>
          <w:rFonts w:ascii="Times New Roman" w:eastAsia="Times New Roman" w:hAnsi="Times New Roman" w:cs="Times New Roman"/>
          <w:b/>
          <w:bCs/>
          <w:sz w:val="24"/>
          <w:szCs w:val="24"/>
        </w:rPr>
      </w:pPr>
      <w:r w:rsidRPr="006F6800">
        <w:rPr>
          <w:rFonts w:ascii="Times New Roman" w:eastAsia="Times New Roman" w:hAnsi="Times New Roman" w:cs="Times New Roman"/>
          <w:sz w:val="24"/>
          <w:szCs w:val="24"/>
        </w:rPr>
        <w:t>Metodologia RAT clasifică evenimentele legate de managementul traficului aerian. Metodologia RAT nu acordă un punctaj în caz de accident, ci măsoară doar cât de aproape a fost evenimentul ATM de a deveni accident. Metodologia RAT este împărțită în mai multe elemente principale (și anume „ATM sol”, „ATM aer”), fiecare furnizând o parte a inputului pentru punctajul de gravitate final RAT „ATM global”. Pentru a obține punctajul de gravitate „ATM global”, trebuie să fie disponibile atât punctajul de gravitate „ATM sol”, cât și punctajul de gravitate „ATM aer”.</w:t>
      </w:r>
    </w:p>
    <w:p w14:paraId="76A527E0" w14:textId="77777777" w:rsidR="00534116" w:rsidRPr="006F6800" w:rsidRDefault="00534116" w:rsidP="006F6800">
      <w:pPr>
        <w:spacing w:line="312" w:lineRule="atLeast"/>
        <w:ind w:right="-1" w:firstLine="709"/>
        <w:jc w:val="both"/>
        <w:rPr>
          <w:rFonts w:ascii="Times New Roman" w:eastAsia="Times New Roman" w:hAnsi="Times New Roman" w:cs="Times New Roman"/>
          <w:b/>
          <w:bCs/>
          <w:sz w:val="24"/>
          <w:szCs w:val="24"/>
        </w:rPr>
      </w:pPr>
      <w:r w:rsidRPr="006F6800">
        <w:rPr>
          <w:rFonts w:ascii="Times New Roman" w:eastAsia="Times New Roman" w:hAnsi="Times New Roman" w:cs="Times New Roman"/>
          <w:b/>
          <w:bCs/>
          <w:sz w:val="24"/>
          <w:szCs w:val="24"/>
        </w:rPr>
        <w:t>e.   Punctajul de gravitate RAT „ATM global”</w:t>
      </w:r>
    </w:p>
    <w:p w14:paraId="140A1FEE" w14:textId="77777777" w:rsidR="00534116" w:rsidRPr="006F6800" w:rsidRDefault="00534116" w:rsidP="006F6800">
      <w:pPr>
        <w:pStyle w:val="oj-normal"/>
        <w:numPr>
          <w:ilvl w:val="0"/>
          <w:numId w:val="35"/>
        </w:numPr>
        <w:tabs>
          <w:tab w:val="left" w:pos="993"/>
        </w:tabs>
        <w:spacing w:before="0" w:beforeAutospacing="0" w:after="0" w:afterAutospacing="0" w:line="312" w:lineRule="atLeast"/>
        <w:ind w:left="0" w:right="-1" w:firstLine="709"/>
        <w:jc w:val="both"/>
        <w:rPr>
          <w:lang w:val="ro-MD"/>
        </w:rPr>
      </w:pPr>
      <w:r w:rsidRPr="006F6800">
        <w:rPr>
          <w:lang w:val="ro-MD"/>
        </w:rPr>
        <w:t>În cazul în care un raport de eveniment conține punctajul de gravitate „ATM global”, etapa următoare este litera g din figura 1.</w:t>
      </w:r>
    </w:p>
    <w:p w14:paraId="01DB6C8B" w14:textId="77777777" w:rsidR="00534116" w:rsidRPr="006F6800" w:rsidRDefault="00534116" w:rsidP="006F6800">
      <w:pPr>
        <w:spacing w:line="312" w:lineRule="atLeast"/>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b/>
          <w:bCs/>
          <w:sz w:val="24"/>
          <w:szCs w:val="24"/>
        </w:rPr>
        <w:t>f.   Coloana ERCS „Probabilitatea survenirii rezultatului de accident potențial”, convertită din valoarea RAT „ATM global” (relevantă numai pentru valorile A, B, C și E)</w:t>
      </w:r>
    </w:p>
    <w:p w14:paraId="59DFAF5E" w14:textId="77777777" w:rsidR="00534116" w:rsidRPr="006F6800" w:rsidRDefault="00534116" w:rsidP="006F6800">
      <w:pPr>
        <w:spacing w:line="312" w:lineRule="atLeast"/>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Pentru rapoartele de eveniment legate de ATM având un clasament (A, B, C, E) în funcție de punctajul de gravitate „ATM global”, se aplică următoarea conversie directă în categoriile de probabilitate ERCS:</w:t>
      </w:r>
    </w:p>
    <w:p w14:paraId="75577CB1" w14:textId="77777777" w:rsidR="00534116" w:rsidRPr="006F6800" w:rsidRDefault="00534116" w:rsidP="006F6800">
      <w:pPr>
        <w:ind w:right="-1"/>
        <w:rPr>
          <w:rFonts w:ascii="Times New Roman" w:hAnsi="Times New Roman" w:cs="Times New Roman"/>
          <w:i/>
          <w:iCs/>
          <w:sz w:val="24"/>
          <w:szCs w:val="24"/>
        </w:rPr>
      </w:pPr>
      <w:r w:rsidRPr="006F6800">
        <w:rPr>
          <w:rFonts w:ascii="Times New Roman" w:hAnsi="Times New Roman" w:cs="Times New Roman"/>
          <w:i/>
          <w:iCs/>
          <w:sz w:val="24"/>
          <w:szCs w:val="24"/>
          <w:lang w:val="en-US"/>
        </w:rPr>
        <w:lastRenderedPageBreak/>
        <w:drawing>
          <wp:inline distT="0" distB="0" distL="0" distR="0" wp14:anchorId="78303554" wp14:editId="6C7AC5F5">
            <wp:extent cx="6457950" cy="2924175"/>
            <wp:effectExtent l="0" t="0" r="0" b="9525"/>
            <wp:docPr id="312440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2924175"/>
                    </a:xfrm>
                    <a:prstGeom prst="rect">
                      <a:avLst/>
                    </a:prstGeom>
                    <a:noFill/>
                    <a:ln>
                      <a:noFill/>
                    </a:ln>
                  </pic:spPr>
                </pic:pic>
              </a:graphicData>
            </a:graphic>
          </wp:inline>
        </w:drawing>
      </w:r>
    </w:p>
    <w:p w14:paraId="38579773" w14:textId="77777777" w:rsidR="00534116" w:rsidRPr="006F6800" w:rsidRDefault="00534116" w:rsidP="006F6800">
      <w:pPr>
        <w:ind w:right="-1" w:firstLine="709"/>
        <w:jc w:val="both"/>
        <w:rPr>
          <w:rFonts w:ascii="Times New Roman" w:hAnsi="Times New Roman" w:cs="Times New Roman"/>
          <w:i/>
          <w:iCs/>
          <w:sz w:val="24"/>
          <w:szCs w:val="24"/>
        </w:rPr>
      </w:pPr>
    </w:p>
    <w:p w14:paraId="1359E814" w14:textId="77777777" w:rsidR="00534116" w:rsidRPr="006F6800" w:rsidRDefault="00534116" w:rsidP="006F6800">
      <w:pPr>
        <w:ind w:right="-1" w:firstLine="709"/>
        <w:jc w:val="both"/>
        <w:rPr>
          <w:rFonts w:ascii="Times New Roman" w:hAnsi="Times New Roman" w:cs="Times New Roman"/>
          <w:i/>
          <w:iCs/>
          <w:sz w:val="24"/>
          <w:szCs w:val="24"/>
        </w:rPr>
      </w:pPr>
      <w:r w:rsidRPr="006F6800">
        <w:rPr>
          <w:rFonts w:ascii="Times New Roman" w:hAnsi="Times New Roman" w:cs="Times New Roman"/>
          <w:i/>
          <w:iCs/>
          <w:sz w:val="24"/>
          <w:szCs w:val="24"/>
        </w:rPr>
        <w:t>Figura 2. Conversia punctajului de gravitate RAT ATM global în punctajul de probabilitate ERCS</w:t>
      </w:r>
    </w:p>
    <w:p w14:paraId="7B28FDCF" w14:textId="77777777" w:rsidR="00534116" w:rsidRPr="006F6800" w:rsidRDefault="00534116" w:rsidP="006F6800">
      <w:pPr>
        <w:ind w:right="-1" w:firstLine="709"/>
        <w:jc w:val="both"/>
        <w:rPr>
          <w:rFonts w:ascii="Times New Roman" w:hAnsi="Times New Roman" w:cs="Times New Roman"/>
          <w:i/>
          <w:iCs/>
          <w:sz w:val="24"/>
          <w:szCs w:val="24"/>
        </w:rPr>
      </w:pPr>
    </w:p>
    <w:p w14:paraId="6E9DF764" w14:textId="77777777" w:rsidR="00534116" w:rsidRPr="006F6800" w:rsidRDefault="00534116" w:rsidP="006F6800">
      <w:pPr>
        <w:spacing w:line="312" w:lineRule="atLeast"/>
        <w:ind w:right="-1" w:firstLine="709"/>
        <w:jc w:val="both"/>
        <w:rPr>
          <w:rFonts w:ascii="Times New Roman" w:eastAsia="Times New Roman" w:hAnsi="Times New Roman" w:cs="Times New Roman"/>
          <w:b/>
          <w:bCs/>
          <w:sz w:val="24"/>
          <w:szCs w:val="24"/>
        </w:rPr>
      </w:pPr>
      <w:r w:rsidRPr="006F6800">
        <w:rPr>
          <w:rFonts w:ascii="Times New Roman" w:eastAsia="Times New Roman" w:hAnsi="Times New Roman" w:cs="Times New Roman"/>
          <w:b/>
          <w:bCs/>
          <w:sz w:val="24"/>
          <w:szCs w:val="24"/>
        </w:rPr>
        <w:t>g.   Rapoarte de eveniment clasificate folosind metodologia ARMS-ERC</w:t>
      </w:r>
    </w:p>
    <w:p w14:paraId="5BB44992" w14:textId="77777777" w:rsidR="00534116" w:rsidRPr="006F6800" w:rsidRDefault="00534116" w:rsidP="006F6800">
      <w:pPr>
        <w:pStyle w:val="oj-normal"/>
        <w:numPr>
          <w:ilvl w:val="0"/>
          <w:numId w:val="35"/>
        </w:numPr>
        <w:tabs>
          <w:tab w:val="left" w:pos="993"/>
        </w:tabs>
        <w:spacing w:before="0" w:beforeAutospacing="0" w:after="0" w:afterAutospacing="0" w:line="312" w:lineRule="atLeast"/>
        <w:ind w:left="0" w:right="-1" w:firstLine="709"/>
        <w:jc w:val="both"/>
        <w:rPr>
          <w:lang w:val="ro-MD"/>
        </w:rPr>
      </w:pPr>
      <w:r w:rsidRPr="006F6800">
        <w:rPr>
          <w:lang w:val="ro-MD"/>
        </w:rPr>
        <w:t>Pentru rapoartele de eveniment cărora li s-a acordat un punctaj prin metoda ARMS-ERC, următoarea etapă este litera i din figura 1.</w:t>
      </w:r>
    </w:p>
    <w:p w14:paraId="2F871029" w14:textId="77777777" w:rsidR="00534116" w:rsidRPr="006F6800" w:rsidRDefault="00534116" w:rsidP="006F6800">
      <w:pPr>
        <w:pStyle w:val="oj-normal"/>
        <w:numPr>
          <w:ilvl w:val="0"/>
          <w:numId w:val="35"/>
        </w:numPr>
        <w:tabs>
          <w:tab w:val="left" w:pos="993"/>
        </w:tabs>
        <w:spacing w:before="0" w:beforeAutospacing="0" w:after="0" w:afterAutospacing="0" w:line="312" w:lineRule="atLeast"/>
        <w:ind w:left="0" w:right="-1" w:firstLine="709"/>
        <w:jc w:val="both"/>
        <w:rPr>
          <w:lang w:val="ro-MD"/>
        </w:rPr>
      </w:pPr>
      <w:r w:rsidRPr="006F6800">
        <w:rPr>
          <w:lang w:val="ro-MD"/>
        </w:rPr>
        <w:t>Pentru rapoartele de eveniment cărora nu li s-a acordat un punctaj prin metoda ARMS-ERC, următoarea etapă este M din figura 5.</w:t>
      </w:r>
    </w:p>
    <w:p w14:paraId="3B372D1D" w14:textId="77777777" w:rsidR="00534116" w:rsidRPr="006F6800" w:rsidRDefault="00534116" w:rsidP="006F6800">
      <w:pPr>
        <w:spacing w:line="312" w:lineRule="atLeast"/>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h.   Matricea standard 4x4 a ARMS-ERC</w:t>
      </w:r>
    </w:p>
    <w:p w14:paraId="4D069FE4" w14:textId="77777777" w:rsidR="00534116" w:rsidRPr="006F6800" w:rsidRDefault="00534116" w:rsidP="006F6800">
      <w:pPr>
        <w:spacing w:line="312" w:lineRule="atLeast"/>
        <w:ind w:right="-1" w:firstLine="709"/>
        <w:jc w:val="both"/>
        <w:rPr>
          <w:rFonts w:ascii="Times New Roman" w:hAnsi="Times New Roman" w:cs="Times New Roman"/>
          <w:sz w:val="24"/>
          <w:szCs w:val="24"/>
        </w:rPr>
      </w:pPr>
      <w:r w:rsidRPr="006F6800">
        <w:rPr>
          <w:rFonts w:ascii="Times New Roman" w:hAnsi="Times New Roman" w:cs="Times New Roman"/>
          <w:sz w:val="24"/>
          <w:szCs w:val="24"/>
        </w:rPr>
        <w:t>În cazul în care se utilizează matricea 4x4 a ARMS-ERC descrisă în figura 3 pentru a obține punctajul raportului de eveniment, pasul următor este litera j din figura 1.</w:t>
      </w:r>
    </w:p>
    <w:p w14:paraId="1230BAA2" w14:textId="77777777" w:rsidR="00534116" w:rsidRPr="006F6800" w:rsidRDefault="00534116" w:rsidP="006F6800">
      <w:pPr>
        <w:spacing w:line="312" w:lineRule="atLeast"/>
        <w:ind w:right="-1" w:firstLine="709"/>
        <w:rPr>
          <w:rFonts w:ascii="Times New Roman" w:eastAsia="Times New Roman" w:hAnsi="Times New Roman" w:cs="Times New Roman"/>
          <w:b/>
          <w:bCs/>
          <w:sz w:val="24"/>
          <w:szCs w:val="24"/>
        </w:rPr>
      </w:pPr>
    </w:p>
    <w:p w14:paraId="7274934B" w14:textId="77777777" w:rsidR="00534116" w:rsidRPr="006F6800" w:rsidRDefault="00534116" w:rsidP="006F6800">
      <w:pPr>
        <w:widowControl/>
        <w:spacing w:line="312" w:lineRule="atLeast"/>
        <w:ind w:right="-1"/>
        <w:contextualSpacing/>
        <w:rPr>
          <w:rFonts w:ascii="Times New Roman" w:eastAsia="Times New Roman" w:hAnsi="Times New Roman" w:cs="Times New Roman"/>
          <w:sz w:val="24"/>
          <w:szCs w:val="24"/>
        </w:rPr>
      </w:pPr>
      <w:r w:rsidRPr="006F6800">
        <w:rPr>
          <w:rFonts w:ascii="Times New Roman" w:eastAsia="Times New Roman" w:hAnsi="Times New Roman" w:cs="Times New Roman"/>
          <w:sz w:val="24"/>
          <w:szCs w:val="24"/>
          <w:lang w:val="en-US"/>
        </w:rPr>
        <w:drawing>
          <wp:inline distT="0" distB="0" distL="0" distR="0" wp14:anchorId="3D093E51" wp14:editId="26A87C13">
            <wp:extent cx="6343870" cy="2867025"/>
            <wp:effectExtent l="0" t="0" r="0" b="0"/>
            <wp:docPr id="952189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5458" cy="2876781"/>
                    </a:xfrm>
                    <a:prstGeom prst="rect">
                      <a:avLst/>
                    </a:prstGeom>
                    <a:noFill/>
                    <a:ln>
                      <a:noFill/>
                    </a:ln>
                  </pic:spPr>
                </pic:pic>
              </a:graphicData>
            </a:graphic>
          </wp:inline>
        </w:drawing>
      </w:r>
    </w:p>
    <w:p w14:paraId="7D439828" w14:textId="77777777" w:rsidR="00534116" w:rsidRPr="006F6800" w:rsidRDefault="00534116" w:rsidP="006F6800">
      <w:pPr>
        <w:widowControl/>
        <w:spacing w:line="312" w:lineRule="atLeast"/>
        <w:ind w:right="-1" w:firstLine="709"/>
        <w:contextualSpacing/>
        <w:rPr>
          <w:rFonts w:ascii="Times New Roman" w:eastAsia="Times New Roman" w:hAnsi="Times New Roman" w:cs="Times New Roman"/>
          <w:i/>
          <w:iCs/>
          <w:sz w:val="24"/>
          <w:szCs w:val="24"/>
        </w:rPr>
      </w:pPr>
    </w:p>
    <w:p w14:paraId="253136BC" w14:textId="77777777" w:rsidR="00534116" w:rsidRPr="006F6800" w:rsidRDefault="00534116" w:rsidP="006F6800">
      <w:pPr>
        <w:widowControl/>
        <w:spacing w:line="312" w:lineRule="atLeast"/>
        <w:ind w:right="-1" w:firstLine="709"/>
        <w:contextualSpacing/>
        <w:rPr>
          <w:rFonts w:ascii="Times New Roman" w:eastAsia="Times New Roman" w:hAnsi="Times New Roman" w:cs="Times New Roman"/>
          <w:i/>
          <w:iCs/>
          <w:sz w:val="24"/>
          <w:szCs w:val="24"/>
        </w:rPr>
      </w:pPr>
      <w:r w:rsidRPr="006F6800">
        <w:rPr>
          <w:rFonts w:ascii="Times New Roman" w:eastAsia="Times New Roman" w:hAnsi="Times New Roman" w:cs="Times New Roman"/>
          <w:i/>
          <w:iCs/>
          <w:sz w:val="24"/>
          <w:szCs w:val="24"/>
        </w:rPr>
        <w:t>Figura 3 Matricea standard 4x4 a ARMS-ERC</w:t>
      </w:r>
    </w:p>
    <w:p w14:paraId="6C0D9C0B" w14:textId="77777777" w:rsidR="00534116" w:rsidRPr="006F6800" w:rsidRDefault="00534116" w:rsidP="006F6800">
      <w:pPr>
        <w:widowControl/>
        <w:spacing w:line="312" w:lineRule="atLeast"/>
        <w:ind w:right="-1" w:firstLine="709"/>
        <w:contextualSpacing/>
        <w:rPr>
          <w:rFonts w:ascii="Times New Roman" w:eastAsia="Times New Roman" w:hAnsi="Times New Roman" w:cs="Times New Roman"/>
          <w:sz w:val="24"/>
          <w:szCs w:val="24"/>
        </w:rPr>
      </w:pPr>
    </w:p>
    <w:p w14:paraId="6128325A" w14:textId="77777777" w:rsidR="00534116" w:rsidRPr="006F6800" w:rsidRDefault="00534116" w:rsidP="006F6800">
      <w:pPr>
        <w:ind w:right="-1" w:firstLine="709"/>
        <w:rPr>
          <w:rFonts w:ascii="Times New Roman" w:hAnsi="Times New Roman" w:cs="Times New Roman"/>
          <w:b/>
          <w:bCs/>
          <w:i/>
          <w:iCs/>
          <w:sz w:val="24"/>
          <w:szCs w:val="24"/>
        </w:rPr>
      </w:pPr>
      <w:r w:rsidRPr="006F6800">
        <w:rPr>
          <w:rFonts w:ascii="Times New Roman" w:hAnsi="Times New Roman" w:cs="Times New Roman"/>
          <w:b/>
          <w:bCs/>
          <w:i/>
          <w:iCs/>
          <w:sz w:val="24"/>
          <w:szCs w:val="24"/>
        </w:rPr>
        <w:lastRenderedPageBreak/>
        <w:t>i.   Punctajul ERCS „Probabilitatea survenirii rezultatului de accident potențial” – conversie direct</w:t>
      </w:r>
    </w:p>
    <w:p w14:paraId="2359B221" w14:textId="77777777" w:rsidR="00534116" w:rsidRPr="006F6800" w:rsidRDefault="00534116" w:rsidP="006F6800">
      <w:pPr>
        <w:ind w:right="-1" w:firstLine="709"/>
        <w:jc w:val="both"/>
        <w:rPr>
          <w:rFonts w:ascii="Times New Roman" w:hAnsi="Times New Roman" w:cs="Times New Roman"/>
          <w:sz w:val="24"/>
          <w:szCs w:val="24"/>
        </w:rPr>
      </w:pPr>
      <w:r w:rsidRPr="006F6800">
        <w:rPr>
          <w:rFonts w:ascii="Times New Roman" w:hAnsi="Times New Roman" w:cs="Times New Roman"/>
          <w:sz w:val="24"/>
          <w:szCs w:val="24"/>
        </w:rPr>
        <w:t>În cazul în care raportul de eveniment conține o valoare ARMS „Eficacitatea barierelor”, pentru a stabili punctajul ERCS „Probabilitatea survenirii rezultatului potențial de accident” se utilizează următoarea conversie directă la matricea ERCS.</w:t>
      </w:r>
    </w:p>
    <w:p w14:paraId="43135C34" w14:textId="77777777" w:rsidR="00534116" w:rsidRPr="006F6800" w:rsidRDefault="00534116" w:rsidP="006F6800">
      <w:pPr>
        <w:ind w:right="-1" w:firstLine="709"/>
        <w:jc w:val="both"/>
        <w:rPr>
          <w:rFonts w:ascii="Times New Roman" w:hAnsi="Times New Roman" w:cs="Times New Roman"/>
          <w:sz w:val="24"/>
          <w:szCs w:val="24"/>
        </w:rPr>
      </w:pPr>
    </w:p>
    <w:p w14:paraId="58C503EA" w14:textId="77777777" w:rsidR="00534116" w:rsidRPr="006F6800" w:rsidRDefault="00534116" w:rsidP="006F6800">
      <w:pPr>
        <w:ind w:right="-1" w:firstLine="709"/>
        <w:rPr>
          <w:rFonts w:ascii="Times New Roman" w:hAnsi="Times New Roman" w:cs="Times New Roman"/>
          <w:sz w:val="24"/>
          <w:szCs w:val="24"/>
        </w:rPr>
      </w:pPr>
    </w:p>
    <w:p w14:paraId="19341DB9"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lang w:val="en-US"/>
        </w:rPr>
        <w:drawing>
          <wp:inline distT="0" distB="0" distL="0" distR="0" wp14:anchorId="28ACA5CB" wp14:editId="02611BC4">
            <wp:extent cx="6486525" cy="2781300"/>
            <wp:effectExtent l="0" t="0" r="9525" b="0"/>
            <wp:docPr id="12676381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7249" cy="2794474"/>
                    </a:xfrm>
                    <a:prstGeom prst="rect">
                      <a:avLst/>
                    </a:prstGeom>
                    <a:noFill/>
                    <a:ln>
                      <a:noFill/>
                    </a:ln>
                  </pic:spPr>
                </pic:pic>
              </a:graphicData>
            </a:graphic>
          </wp:inline>
        </w:drawing>
      </w:r>
    </w:p>
    <w:p w14:paraId="7F650364" w14:textId="77777777" w:rsidR="00534116" w:rsidRPr="006F6800" w:rsidRDefault="00534116" w:rsidP="006F6800">
      <w:pPr>
        <w:ind w:right="-1" w:firstLine="709"/>
        <w:rPr>
          <w:rFonts w:ascii="Times New Roman" w:hAnsi="Times New Roman" w:cs="Times New Roman"/>
          <w:i/>
          <w:iCs/>
          <w:sz w:val="24"/>
          <w:szCs w:val="24"/>
        </w:rPr>
      </w:pPr>
    </w:p>
    <w:p w14:paraId="61401494" w14:textId="77777777" w:rsidR="00534116" w:rsidRPr="006F6800" w:rsidRDefault="00534116" w:rsidP="006F6800">
      <w:pPr>
        <w:ind w:right="-1" w:firstLine="709"/>
        <w:rPr>
          <w:rFonts w:ascii="Times New Roman" w:hAnsi="Times New Roman" w:cs="Times New Roman"/>
          <w:i/>
          <w:iCs/>
          <w:sz w:val="24"/>
          <w:szCs w:val="24"/>
        </w:rPr>
      </w:pPr>
      <w:r w:rsidRPr="006F6800">
        <w:rPr>
          <w:rFonts w:ascii="Times New Roman" w:hAnsi="Times New Roman" w:cs="Times New Roman"/>
          <w:i/>
          <w:iCs/>
          <w:sz w:val="24"/>
          <w:szCs w:val="24"/>
        </w:rPr>
        <w:t>Figura 4. Conversia categoriilor de probabilitate ARMS-ERC în ERCS</w:t>
      </w:r>
    </w:p>
    <w:p w14:paraId="72625857" w14:textId="77777777" w:rsidR="00534116" w:rsidRPr="006F6800" w:rsidRDefault="00534116" w:rsidP="006F6800">
      <w:pPr>
        <w:ind w:right="-1" w:firstLine="709"/>
        <w:rPr>
          <w:rFonts w:ascii="Times New Roman" w:hAnsi="Times New Roman" w:cs="Times New Roman"/>
          <w:sz w:val="24"/>
          <w:szCs w:val="24"/>
        </w:rPr>
      </w:pPr>
    </w:p>
    <w:p w14:paraId="41E3F4FF" w14:textId="77777777" w:rsidR="00534116" w:rsidRPr="006F6800" w:rsidRDefault="00534116" w:rsidP="006F6800">
      <w:pPr>
        <w:ind w:right="-1" w:firstLine="709"/>
        <w:rPr>
          <w:rFonts w:ascii="Times New Roman" w:hAnsi="Times New Roman" w:cs="Times New Roman"/>
          <w:b/>
          <w:bCs/>
          <w:sz w:val="24"/>
          <w:szCs w:val="24"/>
        </w:rPr>
      </w:pPr>
      <w:r w:rsidRPr="006F6800">
        <w:rPr>
          <w:rFonts w:ascii="Times New Roman" w:hAnsi="Times New Roman" w:cs="Times New Roman"/>
          <w:b/>
          <w:bCs/>
          <w:sz w:val="24"/>
          <w:szCs w:val="24"/>
        </w:rPr>
        <w:t>j.   Punctajul ERCS echivalent</w:t>
      </w:r>
    </w:p>
    <w:p w14:paraId="2298101A" w14:textId="77777777" w:rsidR="00534116" w:rsidRPr="006F6800" w:rsidRDefault="00534116" w:rsidP="006F6800">
      <w:pPr>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Punctajele ERCS „Gravitatea rezultatului potențial de accident” și „Probabilitatea rezultatului de accident potențial” sunt combinate în matricea ERCS pentru a genera un punctaj ERCS echivalent, astfel cum se prevede în etapa 2 din anexa 1 la prezentul Regulament</w:t>
      </w:r>
    </w:p>
    <w:p w14:paraId="44243599" w14:textId="4BC6EA12" w:rsidR="00534116" w:rsidRPr="006F6800" w:rsidRDefault="00534116" w:rsidP="006F6800">
      <w:pPr>
        <w:pStyle w:val="ListParagraph"/>
        <w:ind w:right="-1" w:firstLine="709"/>
        <w:rPr>
          <w:rFonts w:ascii="Times New Roman" w:hAnsi="Times New Roman" w:cs="Times New Roman"/>
          <w:b/>
          <w:bCs/>
          <w:sz w:val="24"/>
          <w:szCs w:val="24"/>
        </w:rPr>
      </w:pPr>
      <w:r w:rsidRPr="006F6800">
        <w:rPr>
          <w:rFonts w:ascii="Times New Roman" w:hAnsi="Times New Roman" w:cs="Times New Roman"/>
          <w:b/>
          <w:bCs/>
          <w:sz w:val="24"/>
          <w:szCs w:val="24"/>
        </w:rPr>
        <w:t>CONVERSIE MANUALĂ</w:t>
      </w:r>
    </w:p>
    <w:p w14:paraId="0A3E0B0D" w14:textId="77777777" w:rsidR="00534116" w:rsidRPr="006F6800" w:rsidRDefault="00534116" w:rsidP="006F6800">
      <w:pPr>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Procedura de conversie manuală constă în următoarele două fluxuri de lucru:</w:t>
      </w:r>
    </w:p>
    <w:p w14:paraId="093AB28A" w14:textId="77777777" w:rsidR="00534116" w:rsidRPr="006F6800" w:rsidRDefault="00534116" w:rsidP="006F6800">
      <w:pPr>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fluxul 1 – realizează o conversie manuală pentru a obține punctajul de gravitate ERCS;</w:t>
      </w:r>
    </w:p>
    <w:p w14:paraId="2BE0102E" w14:textId="77777777" w:rsidR="00534116" w:rsidRPr="006F6800" w:rsidRDefault="00534116" w:rsidP="006F6800">
      <w:pPr>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fluxul 2 – realizează o conversie manuală pentru a obține punctajul de probabilitate ERCS</w:t>
      </w:r>
    </w:p>
    <w:p w14:paraId="4DD98974" w14:textId="77777777" w:rsidR="00534116" w:rsidRPr="006F6800" w:rsidRDefault="00534116" w:rsidP="006F6800">
      <w:pPr>
        <w:ind w:right="-1" w:firstLine="709"/>
        <w:rPr>
          <w:rFonts w:ascii="Times New Roman" w:hAnsi="Times New Roman" w:cs="Times New Roman"/>
          <w:sz w:val="24"/>
          <w:szCs w:val="24"/>
        </w:rPr>
      </w:pPr>
    </w:p>
    <w:p w14:paraId="2D7B11B1" w14:textId="77777777" w:rsidR="00534116" w:rsidRPr="006F6800" w:rsidRDefault="00534116" w:rsidP="006F6800">
      <w:pPr>
        <w:ind w:right="-1"/>
        <w:rPr>
          <w:rFonts w:ascii="Times New Roman" w:hAnsi="Times New Roman" w:cs="Times New Roman"/>
          <w:sz w:val="24"/>
          <w:szCs w:val="24"/>
        </w:rPr>
      </w:pPr>
      <w:r w:rsidRPr="006F6800">
        <w:rPr>
          <w:rFonts w:ascii="Times New Roman" w:hAnsi="Times New Roman" w:cs="Times New Roman"/>
          <w:sz w:val="24"/>
          <w:szCs w:val="24"/>
          <w:lang w:val="en-US"/>
        </w:rPr>
        <w:lastRenderedPageBreak/>
        <w:drawing>
          <wp:inline distT="0" distB="0" distL="0" distR="0" wp14:anchorId="6272D876" wp14:editId="010860A8">
            <wp:extent cx="6600825" cy="4562475"/>
            <wp:effectExtent l="0" t="0" r="9525" b="9525"/>
            <wp:docPr id="14437942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1674" cy="4597622"/>
                    </a:xfrm>
                    <a:prstGeom prst="rect">
                      <a:avLst/>
                    </a:prstGeom>
                    <a:noFill/>
                    <a:ln>
                      <a:noFill/>
                    </a:ln>
                  </pic:spPr>
                </pic:pic>
              </a:graphicData>
            </a:graphic>
          </wp:inline>
        </w:drawing>
      </w:r>
    </w:p>
    <w:p w14:paraId="65627204" w14:textId="77777777" w:rsidR="00534116" w:rsidRPr="006F6800" w:rsidRDefault="00534116" w:rsidP="006F6800">
      <w:pPr>
        <w:tabs>
          <w:tab w:val="left" w:pos="10065"/>
        </w:tabs>
        <w:ind w:right="-1" w:firstLine="709"/>
        <w:jc w:val="both"/>
        <w:rPr>
          <w:rFonts w:ascii="Times New Roman" w:hAnsi="Times New Roman" w:cs="Times New Roman"/>
          <w:i/>
          <w:iCs/>
          <w:sz w:val="24"/>
          <w:szCs w:val="24"/>
        </w:rPr>
      </w:pPr>
    </w:p>
    <w:p w14:paraId="0CBCDE92" w14:textId="77777777" w:rsidR="00534116" w:rsidRPr="006F6800" w:rsidRDefault="00534116" w:rsidP="006F6800">
      <w:pPr>
        <w:tabs>
          <w:tab w:val="left" w:pos="10065"/>
        </w:tabs>
        <w:ind w:right="-1" w:firstLine="709"/>
        <w:jc w:val="both"/>
        <w:rPr>
          <w:rFonts w:ascii="Times New Roman" w:hAnsi="Times New Roman" w:cs="Times New Roman"/>
          <w:i/>
          <w:iCs/>
          <w:sz w:val="24"/>
          <w:szCs w:val="24"/>
        </w:rPr>
      </w:pPr>
      <w:r w:rsidRPr="006F6800">
        <w:rPr>
          <w:rFonts w:ascii="Times New Roman" w:hAnsi="Times New Roman" w:cs="Times New Roman"/>
          <w:i/>
          <w:iCs/>
          <w:sz w:val="24"/>
          <w:szCs w:val="24"/>
        </w:rPr>
        <w:t>Figura 5. Conversia manual</w:t>
      </w:r>
    </w:p>
    <w:p w14:paraId="44B335B8" w14:textId="77777777" w:rsidR="00534116" w:rsidRPr="006F6800" w:rsidRDefault="00534116" w:rsidP="006F6800">
      <w:pPr>
        <w:tabs>
          <w:tab w:val="left" w:pos="10065"/>
        </w:tabs>
        <w:ind w:right="-1" w:firstLine="709"/>
        <w:jc w:val="both"/>
        <w:rPr>
          <w:rFonts w:ascii="Times New Roman" w:hAnsi="Times New Roman" w:cs="Times New Roman"/>
          <w:sz w:val="24"/>
          <w:szCs w:val="24"/>
        </w:rPr>
      </w:pPr>
    </w:p>
    <w:p w14:paraId="2A20B3E7" w14:textId="77777777" w:rsidR="00534116" w:rsidRPr="006F6800" w:rsidRDefault="00534116" w:rsidP="006F6800">
      <w:pPr>
        <w:tabs>
          <w:tab w:val="left" w:pos="10065"/>
        </w:tabs>
        <w:spacing w:line="312" w:lineRule="atLeast"/>
        <w:ind w:right="-1" w:firstLine="709"/>
        <w:jc w:val="both"/>
        <w:rPr>
          <w:rFonts w:ascii="Times New Roman" w:hAnsi="Times New Roman" w:cs="Times New Roman"/>
          <w:b/>
          <w:bCs/>
          <w:i/>
          <w:iCs/>
          <w:sz w:val="24"/>
          <w:szCs w:val="24"/>
        </w:rPr>
      </w:pPr>
      <w:r w:rsidRPr="006F6800">
        <w:rPr>
          <w:rFonts w:ascii="Times New Roman" w:hAnsi="Times New Roman" w:cs="Times New Roman"/>
          <w:b/>
          <w:bCs/>
          <w:sz w:val="24"/>
          <w:szCs w:val="24"/>
        </w:rPr>
        <w:t>2.1.    </w:t>
      </w:r>
      <w:r w:rsidRPr="006F6800">
        <w:rPr>
          <w:rFonts w:ascii="Times New Roman" w:hAnsi="Times New Roman" w:cs="Times New Roman"/>
          <w:b/>
          <w:bCs/>
          <w:i/>
          <w:iCs/>
          <w:sz w:val="24"/>
          <w:szCs w:val="24"/>
        </w:rPr>
        <w:t>FLUXUL DE LUCRU 1</w:t>
      </w:r>
    </w:p>
    <w:p w14:paraId="4B1C7333" w14:textId="77777777" w:rsidR="00534116" w:rsidRPr="006F6800" w:rsidRDefault="00534116" w:rsidP="006F6800">
      <w:pPr>
        <w:tabs>
          <w:tab w:val="left" w:pos="10065"/>
        </w:tabs>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D.   Punctajul ERCS „Gravitatea rezultatului de accident potențial” – conversie manual</w:t>
      </w:r>
    </w:p>
    <w:p w14:paraId="46695732" w14:textId="77777777" w:rsidR="00534116" w:rsidRPr="006F6800" w:rsidRDefault="00534116" w:rsidP="006F6800">
      <w:pPr>
        <w:pStyle w:val="ListParagraph"/>
        <w:numPr>
          <w:ilvl w:val="0"/>
          <w:numId w:val="35"/>
        </w:numPr>
        <w:tabs>
          <w:tab w:val="left" w:pos="993"/>
        </w:tabs>
        <w:spacing w:line="312" w:lineRule="atLeast"/>
        <w:ind w:left="0"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În cazul în care raportul de eveniment nu conține informații cu privire la „categoria evenimentului”, la „grupa de masă” sau la niciuna dintre acestea, se aplică metodologia ERCS definită în anexa la prezentul Regulament pentru determinarea „rezultatului de accident potențial” sau a „domeniului de risc principal”. Rezultatul final este k, care reprezintă prima poziție corespunzătoare valorii alfabetice rezultate din calculul gravității evenimentului (punctaj de gravitate de la A la X).</w:t>
      </w:r>
    </w:p>
    <w:p w14:paraId="6DC77B27" w14:textId="77777777" w:rsidR="00534116" w:rsidRPr="006F6800" w:rsidRDefault="00534116" w:rsidP="006F6800">
      <w:pPr>
        <w:tabs>
          <w:tab w:val="left" w:pos="10065"/>
        </w:tabs>
        <w:ind w:right="-1" w:firstLine="709"/>
        <w:jc w:val="both"/>
        <w:rPr>
          <w:rFonts w:ascii="Times New Roman" w:hAnsi="Times New Roman" w:cs="Times New Roman"/>
          <w:b/>
          <w:bCs/>
          <w:i/>
          <w:iCs/>
          <w:sz w:val="24"/>
          <w:szCs w:val="24"/>
        </w:rPr>
      </w:pPr>
      <w:r w:rsidRPr="006F6800">
        <w:rPr>
          <w:rFonts w:ascii="Times New Roman" w:hAnsi="Times New Roman" w:cs="Times New Roman"/>
          <w:b/>
          <w:bCs/>
          <w:sz w:val="24"/>
          <w:szCs w:val="24"/>
        </w:rPr>
        <w:t>2.2.    </w:t>
      </w:r>
      <w:r w:rsidRPr="006F6800">
        <w:rPr>
          <w:rFonts w:ascii="Times New Roman" w:hAnsi="Times New Roman" w:cs="Times New Roman"/>
          <w:b/>
          <w:bCs/>
          <w:i/>
          <w:iCs/>
          <w:sz w:val="24"/>
          <w:szCs w:val="24"/>
        </w:rPr>
        <w:t>FLUXUL DE LUCRU 2</w:t>
      </w:r>
    </w:p>
    <w:p w14:paraId="781928C6" w14:textId="77777777" w:rsidR="00534116" w:rsidRPr="006F6800" w:rsidRDefault="00534116" w:rsidP="006F6800">
      <w:pPr>
        <w:tabs>
          <w:tab w:val="left" w:pos="10065"/>
        </w:tabs>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L.   Coloana ERCS „Probabilitatea survenirii rezultatului de accident potențial” – procedura manual</w:t>
      </w:r>
    </w:p>
    <w:p w14:paraId="05BBEA2B" w14:textId="77777777" w:rsidR="00534116" w:rsidRPr="006F6800" w:rsidRDefault="00534116" w:rsidP="006F6800">
      <w:pPr>
        <w:pStyle w:val="ListParagraph"/>
        <w:numPr>
          <w:ilvl w:val="0"/>
          <w:numId w:val="35"/>
        </w:numPr>
        <w:tabs>
          <w:tab w:val="left" w:pos="993"/>
        </w:tabs>
        <w:spacing w:line="312" w:lineRule="atLeast"/>
        <w:ind w:left="0"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Pentru rapoartele de eveniment care nu conțin niciun punctaj de gravitate „ATM global”, nu se face conversia directă la punctajul ERCS „Probabilitatea de rezultat de accident potențial”.</w:t>
      </w:r>
    </w:p>
    <w:p w14:paraId="1AF23A34" w14:textId="77777777" w:rsidR="00534116" w:rsidRPr="006F6800" w:rsidRDefault="00534116" w:rsidP="006F6800">
      <w:pPr>
        <w:tabs>
          <w:tab w:val="left" w:pos="10065"/>
        </w:tabs>
        <w:ind w:right="-1" w:firstLine="709"/>
        <w:jc w:val="both"/>
        <w:rPr>
          <w:rFonts w:ascii="Times New Roman" w:hAnsi="Times New Roman" w:cs="Times New Roman"/>
          <w:sz w:val="24"/>
          <w:szCs w:val="24"/>
        </w:rPr>
      </w:pPr>
      <w:r w:rsidRPr="006F6800">
        <w:rPr>
          <w:rFonts w:ascii="Times New Roman" w:hAnsi="Times New Roman" w:cs="Times New Roman"/>
          <w:sz w:val="24"/>
          <w:szCs w:val="24"/>
        </w:rPr>
        <w:t>Cu toate acestea, gravitatea punctajului „ATM sol” poate să permită o conversie parțială prin punerea în corespondență a evaluării barierelor „ATM sol” și a procesului de evaluare a barierelor ERCS, definite la punctul</w:t>
      </w:r>
      <w:r w:rsidRPr="006F6800">
        <w:rPr>
          <w:rFonts w:ascii="Times New Roman" w:hAnsi="Times New Roman" w:cs="Times New Roman"/>
          <w:b/>
          <w:sz w:val="24"/>
          <w:szCs w:val="24"/>
        </w:rPr>
        <w:t xml:space="preserve"> </w:t>
      </w:r>
      <w:r w:rsidRPr="006F6800">
        <w:rPr>
          <w:rFonts w:ascii="Times New Roman" w:hAnsi="Times New Roman" w:cs="Times New Roman"/>
          <w:sz w:val="24"/>
          <w:szCs w:val="24"/>
        </w:rPr>
        <w:t>2.1.3 Evaluarea barierelor din anexa 1  la prezentul Regulament.</w:t>
      </w:r>
    </w:p>
    <w:p w14:paraId="43474986" w14:textId="77777777" w:rsidR="00534116" w:rsidRPr="006F6800" w:rsidRDefault="00534116" w:rsidP="006F6800">
      <w:pPr>
        <w:tabs>
          <w:tab w:val="left" w:pos="10065"/>
        </w:tabs>
        <w:spacing w:line="312" w:lineRule="atLeast"/>
        <w:ind w:right="-1" w:firstLine="709"/>
        <w:jc w:val="both"/>
        <w:rPr>
          <w:rFonts w:ascii="Times New Roman" w:hAnsi="Times New Roman" w:cs="Times New Roman"/>
          <w:b/>
          <w:bCs/>
          <w:sz w:val="24"/>
          <w:szCs w:val="24"/>
        </w:rPr>
      </w:pPr>
      <w:r w:rsidRPr="006F6800">
        <w:rPr>
          <w:rFonts w:ascii="Times New Roman" w:hAnsi="Times New Roman" w:cs="Times New Roman"/>
          <w:b/>
          <w:bCs/>
          <w:sz w:val="24"/>
          <w:szCs w:val="24"/>
        </w:rPr>
        <w:t>M. Punctajul ERCS „Probabilitatea survenirii rezultatului de accident potențial” – proces manual</w:t>
      </w:r>
    </w:p>
    <w:p w14:paraId="20DC618A" w14:textId="77777777" w:rsidR="00534116" w:rsidRPr="006F6800" w:rsidRDefault="00534116" w:rsidP="006F6800">
      <w:pPr>
        <w:tabs>
          <w:tab w:val="left" w:pos="10065"/>
        </w:tabs>
        <w:ind w:right="-1" w:firstLine="709"/>
        <w:jc w:val="both"/>
        <w:rPr>
          <w:rFonts w:ascii="Times New Roman" w:eastAsia="Times New Roman" w:hAnsi="Times New Roman" w:cs="Times New Roman"/>
          <w:b/>
          <w:bCs/>
          <w:sz w:val="24"/>
          <w:szCs w:val="24"/>
        </w:rPr>
      </w:pPr>
      <w:r w:rsidRPr="006F6800">
        <w:rPr>
          <w:rFonts w:ascii="Times New Roman" w:hAnsi="Times New Roman" w:cs="Times New Roman"/>
          <w:sz w:val="24"/>
          <w:szCs w:val="24"/>
        </w:rPr>
        <w:t xml:space="preserve">În cazul în care rapoartele de eveniment nu utilizează matricea 4x4 a ARMS-ERC la obținerea punctajului evenimentului, pentru a genera un punctaj ERCS „Probabilitatea survenirii rezultatului de </w:t>
      </w:r>
      <w:r w:rsidRPr="006F6800">
        <w:rPr>
          <w:rFonts w:ascii="Times New Roman" w:hAnsi="Times New Roman" w:cs="Times New Roman"/>
          <w:sz w:val="24"/>
          <w:szCs w:val="24"/>
        </w:rPr>
        <w:lastRenderedPageBreak/>
        <w:t>accident potențial”, valoarea de evaluare a barierelor ARMS-ERC este convertită în evaluarea barierelor ERCS prevăzută la punctul 2.1.3 Apendicele nr. 1 la prezenta Anexă.</w:t>
      </w:r>
    </w:p>
    <w:p w14:paraId="4B6C2B8A" w14:textId="77777777" w:rsidR="00534116" w:rsidRPr="006F6800" w:rsidRDefault="00534116" w:rsidP="006F6800">
      <w:pPr>
        <w:tabs>
          <w:tab w:val="left" w:pos="10065"/>
        </w:tabs>
        <w:ind w:right="-1" w:firstLine="709"/>
        <w:jc w:val="both"/>
        <w:rPr>
          <w:rFonts w:ascii="Times New Roman" w:eastAsia="Times New Roman" w:hAnsi="Times New Roman" w:cs="Times New Roman"/>
          <w:b/>
          <w:bCs/>
          <w:sz w:val="24"/>
          <w:szCs w:val="24"/>
        </w:rPr>
      </w:pPr>
      <w:r w:rsidRPr="006F6800">
        <w:rPr>
          <w:rFonts w:ascii="Times New Roman" w:eastAsia="Times New Roman" w:hAnsi="Times New Roman" w:cs="Times New Roman"/>
          <w:b/>
          <w:bCs/>
          <w:sz w:val="24"/>
          <w:szCs w:val="24"/>
        </w:rPr>
        <w:t>k.   Punctajul ERCS echivalent</w:t>
      </w:r>
    </w:p>
    <w:p w14:paraId="1842C650" w14:textId="5545996E" w:rsidR="00F12C76" w:rsidRPr="006F6800" w:rsidRDefault="00534116" w:rsidP="006F6800">
      <w:pPr>
        <w:tabs>
          <w:tab w:val="left" w:pos="10065"/>
        </w:tabs>
        <w:ind w:right="-1" w:firstLine="709"/>
        <w:jc w:val="both"/>
        <w:rPr>
          <w:rFonts w:ascii="Times New Roman" w:hAnsi="Times New Roman" w:cs="Times New Roman"/>
          <w:sz w:val="24"/>
          <w:szCs w:val="24"/>
        </w:rPr>
      </w:pPr>
      <w:r w:rsidRPr="006F6800">
        <w:rPr>
          <w:rFonts w:ascii="Times New Roman" w:hAnsi="Times New Roman" w:cs="Times New Roman"/>
          <w:sz w:val="24"/>
          <w:szCs w:val="24"/>
        </w:rPr>
        <w:t>Punctajele ERCS „Gravitatea rezultatului potențial de accident” și „Probabilitatea rezultatului de accident potențial” sunt combinate în matricea ERCS pentru a genera un punctaj ERCS echivalent, astfel cum se prevede în etapa 2 din anexa 1 la prezentul Regulament.</w:t>
      </w:r>
    </w:p>
    <w:sectPr w:rsidR="00F12C76" w:rsidRPr="006F6800" w:rsidSect="00534116">
      <w:endnotePr>
        <w:numFmt w:val="decimal"/>
      </w:endnotePr>
      <w:pgSz w:w="12240" w:h="15840"/>
      <w:pgMar w:top="1135" w:right="90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214"/>
    <w:multiLevelType w:val="multilevel"/>
    <w:tmpl w:val="3934CD06"/>
    <w:lvl w:ilvl="0">
      <w:start w:val="1"/>
      <w:numFmt w:val="decimal"/>
      <w:lvlText w:val="%1."/>
      <w:lvlJc w:val="left"/>
      <w:pPr>
        <w:ind w:left="1069" w:hanging="360"/>
      </w:pPr>
      <w:rPr>
        <w:rFonts w:hint="default"/>
        <w:b/>
      </w:rPr>
    </w:lvl>
    <w:lvl w:ilvl="1">
      <w:start w:val="2"/>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62157E1"/>
    <w:multiLevelType w:val="hybridMultilevel"/>
    <w:tmpl w:val="05C6D69A"/>
    <w:lvl w:ilvl="0" w:tplc="82929FC4">
      <w:start w:val="2"/>
      <w:numFmt w:val="decimal"/>
      <w:lvlText w:val="%1."/>
      <w:lvlJc w:val="left"/>
      <w:pPr>
        <w:ind w:left="1068" w:hanging="360"/>
      </w:pPr>
      <w:rPr>
        <w:rFonts w:hint="default"/>
        <w:b/>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78D6846"/>
    <w:multiLevelType w:val="hybridMultilevel"/>
    <w:tmpl w:val="494435B2"/>
    <w:lvl w:ilvl="0" w:tplc="F6E413CA">
      <w:start w:val="4"/>
      <w:numFmt w:val="lowerLetter"/>
      <w:lvlText w:val="(%1)"/>
      <w:lvlJc w:val="left"/>
      <w:pPr>
        <w:ind w:left="720" w:hanging="360"/>
      </w:pPr>
      <w:rPr>
        <w:rFonts w:ascii="Times New Roman" w:eastAsia="Times New Roman" w:hAnsi="Times New Roman" w:cs="Times New Roman"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5AB"/>
    <w:multiLevelType w:val="hybridMultilevel"/>
    <w:tmpl w:val="C6ECE65A"/>
    <w:lvl w:ilvl="0" w:tplc="B4525F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623018"/>
    <w:multiLevelType w:val="hybridMultilevel"/>
    <w:tmpl w:val="9E802BAE"/>
    <w:lvl w:ilvl="0" w:tplc="D2DE1606">
      <w:start w:val="6"/>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0F7B78"/>
    <w:multiLevelType w:val="hybridMultilevel"/>
    <w:tmpl w:val="109A6410"/>
    <w:lvl w:ilvl="0" w:tplc="D5C0D49A">
      <w:start w:val="1"/>
      <w:numFmt w:val="lowerLetter"/>
      <w:lvlText w:val="(%1)"/>
      <w:lvlJc w:val="left"/>
      <w:pPr>
        <w:ind w:left="720" w:hanging="360"/>
      </w:pPr>
      <w:rPr>
        <w:rFonts w:ascii="Times New Roman" w:eastAsia="Times New Roman" w:hAnsi="Times New Roman" w:cs="Times New Roman" w:hint="default"/>
        <w:spacing w:val="-1"/>
        <w:w w:val="100"/>
        <w:sz w:val="22"/>
        <w:szCs w:val="22"/>
        <w:lang w:val="ro-R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81000"/>
    <w:multiLevelType w:val="hybridMultilevel"/>
    <w:tmpl w:val="2654AEAE"/>
    <w:lvl w:ilvl="0" w:tplc="B66E4474">
      <w:start w:val="1"/>
      <w:numFmt w:val="bullet"/>
      <w:lvlText w:val="-"/>
      <w:lvlJc w:val="left"/>
      <w:pPr>
        <w:ind w:left="720" w:hanging="360"/>
      </w:pPr>
      <w:rPr>
        <w:rFonts w:ascii="Times New Roman" w:eastAsia="Times"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4621C"/>
    <w:multiLevelType w:val="hybridMultilevel"/>
    <w:tmpl w:val="47061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8284B"/>
    <w:multiLevelType w:val="hybridMultilevel"/>
    <w:tmpl w:val="FE860C4E"/>
    <w:lvl w:ilvl="0" w:tplc="B66E4474">
      <w:start w:val="1"/>
      <w:numFmt w:val="bullet"/>
      <w:lvlText w:val="-"/>
      <w:lvlJc w:val="left"/>
      <w:pPr>
        <w:ind w:left="720" w:hanging="360"/>
      </w:pPr>
      <w:rPr>
        <w:rFonts w:ascii="Times New Roman" w:eastAsia="Times"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25BC5"/>
    <w:multiLevelType w:val="hybridMultilevel"/>
    <w:tmpl w:val="D2E060AE"/>
    <w:lvl w:ilvl="0" w:tplc="0B261CF8">
      <w:start w:val="1"/>
      <w:numFmt w:val="lowerLetter"/>
      <w:lvlText w:val="(%1)"/>
      <w:lvlJc w:val="left"/>
      <w:pPr>
        <w:ind w:left="1287" w:hanging="360"/>
      </w:pPr>
      <w:rPr>
        <w:rFonts w:ascii="Times New Roman" w:eastAsia="Times New Roman" w:hAnsi="Times New Roman" w:cs="Times New Roman" w:hint="default"/>
        <w:spacing w:val="-1"/>
        <w:w w:val="100"/>
        <w:sz w:val="22"/>
        <w:szCs w:val="22"/>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1463487"/>
    <w:multiLevelType w:val="hybridMultilevel"/>
    <w:tmpl w:val="CCB4C14E"/>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25556A0D"/>
    <w:multiLevelType w:val="hybridMultilevel"/>
    <w:tmpl w:val="A816C988"/>
    <w:lvl w:ilvl="0" w:tplc="A322E65C">
      <w:start w:val="5"/>
      <w:numFmt w:val="lowerLetter"/>
      <w:lvlText w:val="(%1)"/>
      <w:lvlJc w:val="left"/>
      <w:pPr>
        <w:ind w:left="720" w:hanging="360"/>
      </w:pPr>
      <w:rPr>
        <w:rFonts w:ascii="Times New Roman" w:eastAsia="Times New Roman" w:hAnsi="Times New Roman" w:cs="Times New Roman"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820B1"/>
    <w:multiLevelType w:val="hybridMultilevel"/>
    <w:tmpl w:val="BFC0A8F0"/>
    <w:lvl w:ilvl="0" w:tplc="B66E4474">
      <w:start w:val="1"/>
      <w:numFmt w:val="bullet"/>
      <w:lvlText w:val="-"/>
      <w:lvlJc w:val="left"/>
      <w:pPr>
        <w:ind w:left="720" w:hanging="360"/>
      </w:pPr>
      <w:rPr>
        <w:rFonts w:ascii="Times New Roman" w:eastAsia="Times"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27F8E"/>
    <w:multiLevelType w:val="hybridMultilevel"/>
    <w:tmpl w:val="E3BC3BDE"/>
    <w:lvl w:ilvl="0" w:tplc="B66E4474">
      <w:start w:val="1"/>
      <w:numFmt w:val="bullet"/>
      <w:lvlText w:val="-"/>
      <w:lvlJc w:val="left"/>
      <w:pPr>
        <w:ind w:left="720" w:hanging="360"/>
      </w:pPr>
      <w:rPr>
        <w:rFonts w:ascii="Times New Roman" w:eastAsia="Times"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90308"/>
    <w:multiLevelType w:val="hybridMultilevel"/>
    <w:tmpl w:val="07362012"/>
    <w:lvl w:ilvl="0" w:tplc="1CF8D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F2011"/>
    <w:multiLevelType w:val="hybridMultilevel"/>
    <w:tmpl w:val="E30E37D8"/>
    <w:lvl w:ilvl="0" w:tplc="C512E37A">
      <w:start w:val="2"/>
      <w:numFmt w:val="decimal"/>
      <w:lvlText w:val="%1."/>
      <w:lvlJc w:val="left"/>
      <w:pPr>
        <w:ind w:left="1789" w:hanging="360"/>
      </w:pPr>
      <w:rPr>
        <w:rFonts w:hint="default"/>
        <w:sz w:val="24"/>
        <w:szCs w:val="24"/>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6" w15:restartNumberingAfterBreak="0">
    <w:nsid w:val="3BD46B27"/>
    <w:multiLevelType w:val="multilevel"/>
    <w:tmpl w:val="A16670D8"/>
    <w:lvl w:ilvl="0">
      <w:start w:val="2"/>
      <w:numFmt w:val="decimal"/>
      <w:lvlText w:val="%1."/>
      <w:lvlJc w:val="left"/>
      <w:pPr>
        <w:tabs>
          <w:tab w:val="num" w:pos="927"/>
        </w:tabs>
        <w:ind w:left="927" w:hanging="360"/>
      </w:pPr>
      <w:rPr>
        <w:rFonts w:hint="default"/>
        <w:b/>
        <w:bCs/>
      </w:rPr>
    </w:lvl>
    <w:lvl w:ilvl="1">
      <w:start w:val="1"/>
      <w:numFmt w:val="decimal"/>
      <w:isLgl/>
      <w:lvlText w:val="%1.%2"/>
      <w:lvlJc w:val="left"/>
      <w:pPr>
        <w:ind w:left="1069" w:hanging="360"/>
      </w:pPr>
      <w:rPr>
        <w:rFonts w:ascii="Times New Roman" w:hAnsi="Times New Roman" w:cs="Times New Roman" w:hint="default"/>
        <w:color w:val="000000"/>
      </w:rPr>
    </w:lvl>
    <w:lvl w:ilvl="2">
      <w:start w:val="1"/>
      <w:numFmt w:val="decimal"/>
      <w:isLgl/>
      <w:lvlText w:val="%1.%2.%3"/>
      <w:lvlJc w:val="left"/>
      <w:pPr>
        <w:ind w:left="1571" w:hanging="720"/>
      </w:pPr>
      <w:rPr>
        <w:rFonts w:ascii="Times New Roman" w:hAnsi="Times New Roman" w:cs="Times New Roman" w:hint="default"/>
        <w:color w:val="000000"/>
      </w:rPr>
    </w:lvl>
    <w:lvl w:ilvl="3">
      <w:start w:val="1"/>
      <w:numFmt w:val="decimal"/>
      <w:isLgl/>
      <w:lvlText w:val="%1.%2.%3.%4"/>
      <w:lvlJc w:val="left"/>
      <w:pPr>
        <w:ind w:left="1713" w:hanging="720"/>
      </w:pPr>
      <w:rPr>
        <w:rFonts w:ascii="Times New Roman" w:hAnsi="Times New Roman" w:cs="Times New Roman" w:hint="default"/>
        <w:color w:val="000000"/>
      </w:rPr>
    </w:lvl>
    <w:lvl w:ilvl="4">
      <w:start w:val="1"/>
      <w:numFmt w:val="decimal"/>
      <w:isLgl/>
      <w:lvlText w:val="%1.%2.%3.%4.%5"/>
      <w:lvlJc w:val="left"/>
      <w:pPr>
        <w:ind w:left="2215" w:hanging="1080"/>
      </w:pPr>
      <w:rPr>
        <w:rFonts w:ascii="Times New Roman" w:hAnsi="Times New Roman" w:cs="Times New Roman" w:hint="default"/>
        <w:color w:val="000000"/>
      </w:rPr>
    </w:lvl>
    <w:lvl w:ilvl="5">
      <w:start w:val="1"/>
      <w:numFmt w:val="decimal"/>
      <w:isLgl/>
      <w:lvlText w:val="%1.%2.%3.%4.%5.%6"/>
      <w:lvlJc w:val="left"/>
      <w:pPr>
        <w:ind w:left="2357" w:hanging="1080"/>
      </w:pPr>
      <w:rPr>
        <w:rFonts w:ascii="Times New Roman" w:hAnsi="Times New Roman" w:cs="Times New Roman" w:hint="default"/>
        <w:color w:val="000000"/>
      </w:rPr>
    </w:lvl>
    <w:lvl w:ilvl="6">
      <w:start w:val="1"/>
      <w:numFmt w:val="decimal"/>
      <w:isLgl/>
      <w:lvlText w:val="%1.%2.%3.%4.%5.%6.%7"/>
      <w:lvlJc w:val="left"/>
      <w:pPr>
        <w:ind w:left="2859" w:hanging="1440"/>
      </w:pPr>
      <w:rPr>
        <w:rFonts w:ascii="Times New Roman" w:hAnsi="Times New Roman" w:cs="Times New Roman" w:hint="default"/>
        <w:color w:val="000000"/>
      </w:rPr>
    </w:lvl>
    <w:lvl w:ilvl="7">
      <w:start w:val="1"/>
      <w:numFmt w:val="decimal"/>
      <w:isLgl/>
      <w:lvlText w:val="%1.%2.%3.%4.%5.%6.%7.%8"/>
      <w:lvlJc w:val="left"/>
      <w:pPr>
        <w:ind w:left="3001" w:hanging="1440"/>
      </w:pPr>
      <w:rPr>
        <w:rFonts w:ascii="Times New Roman" w:hAnsi="Times New Roman" w:cs="Times New Roman" w:hint="default"/>
        <w:color w:val="000000"/>
      </w:rPr>
    </w:lvl>
    <w:lvl w:ilvl="8">
      <w:start w:val="1"/>
      <w:numFmt w:val="decimal"/>
      <w:isLgl/>
      <w:lvlText w:val="%1.%2.%3.%4.%5.%6.%7.%8.%9"/>
      <w:lvlJc w:val="left"/>
      <w:pPr>
        <w:ind w:left="3503" w:hanging="1800"/>
      </w:pPr>
      <w:rPr>
        <w:rFonts w:ascii="Times New Roman" w:hAnsi="Times New Roman" w:cs="Times New Roman" w:hint="default"/>
        <w:color w:val="000000"/>
      </w:rPr>
    </w:lvl>
  </w:abstractNum>
  <w:abstractNum w:abstractNumId="17" w15:restartNumberingAfterBreak="0">
    <w:nsid w:val="3DC606B4"/>
    <w:multiLevelType w:val="hybridMultilevel"/>
    <w:tmpl w:val="2CB8DB64"/>
    <w:lvl w:ilvl="0" w:tplc="1CF8D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E6812"/>
    <w:multiLevelType w:val="hybridMultilevel"/>
    <w:tmpl w:val="AA2628A0"/>
    <w:lvl w:ilvl="0" w:tplc="B66E4474">
      <w:start w:val="1"/>
      <w:numFmt w:val="bullet"/>
      <w:lvlText w:val="-"/>
      <w:lvlJc w:val="left"/>
      <w:pPr>
        <w:ind w:left="720" w:hanging="360"/>
      </w:pPr>
      <w:rPr>
        <w:rFonts w:ascii="Times New Roman" w:eastAsia="Times"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B76FC"/>
    <w:multiLevelType w:val="multilevel"/>
    <w:tmpl w:val="F04E636E"/>
    <w:lvl w:ilvl="0">
      <w:start w:val="1"/>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6336" w:hanging="1800"/>
      </w:pPr>
      <w:rPr>
        <w:rFonts w:cstheme="minorBidi" w:hint="default"/>
      </w:rPr>
    </w:lvl>
  </w:abstractNum>
  <w:abstractNum w:abstractNumId="20" w15:restartNumberingAfterBreak="0">
    <w:nsid w:val="442E64CB"/>
    <w:multiLevelType w:val="hybridMultilevel"/>
    <w:tmpl w:val="31529504"/>
    <w:lvl w:ilvl="0" w:tplc="D2DE1606">
      <w:start w:val="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72C26B8"/>
    <w:multiLevelType w:val="multilevel"/>
    <w:tmpl w:val="4C6096FC"/>
    <w:lvl w:ilvl="0">
      <w:start w:val="2"/>
      <w:numFmt w:val="decimal"/>
      <w:lvlText w:val="%1."/>
      <w:lvlJc w:val="left"/>
      <w:pPr>
        <w:ind w:left="360" w:hanging="360"/>
      </w:pPr>
      <w:rPr>
        <w:rFonts w:cstheme="minorBidi" w:hint="default"/>
        <w:i/>
      </w:rPr>
    </w:lvl>
    <w:lvl w:ilvl="1">
      <w:start w:val="1"/>
      <w:numFmt w:val="decimal"/>
      <w:lvlText w:val="%1.%2."/>
      <w:lvlJc w:val="left"/>
      <w:pPr>
        <w:ind w:left="1069" w:hanging="360"/>
      </w:pPr>
      <w:rPr>
        <w:rFonts w:cstheme="minorBidi" w:hint="default"/>
        <w:i w:val="0"/>
        <w:iCs/>
      </w:rPr>
    </w:lvl>
    <w:lvl w:ilvl="2">
      <w:start w:val="1"/>
      <w:numFmt w:val="decimal"/>
      <w:lvlText w:val="%1.%2.%3."/>
      <w:lvlJc w:val="left"/>
      <w:pPr>
        <w:ind w:left="2138" w:hanging="720"/>
      </w:pPr>
      <w:rPr>
        <w:rFonts w:cstheme="minorBidi" w:hint="default"/>
        <w:i/>
      </w:rPr>
    </w:lvl>
    <w:lvl w:ilvl="3">
      <w:start w:val="1"/>
      <w:numFmt w:val="decimal"/>
      <w:lvlText w:val="%1.%2.%3.%4."/>
      <w:lvlJc w:val="left"/>
      <w:pPr>
        <w:ind w:left="2847" w:hanging="720"/>
      </w:pPr>
      <w:rPr>
        <w:rFonts w:cstheme="minorBidi" w:hint="default"/>
        <w:i/>
      </w:rPr>
    </w:lvl>
    <w:lvl w:ilvl="4">
      <w:start w:val="1"/>
      <w:numFmt w:val="decimal"/>
      <w:lvlText w:val="%1.%2.%3.%4.%5."/>
      <w:lvlJc w:val="left"/>
      <w:pPr>
        <w:ind w:left="3916" w:hanging="1080"/>
      </w:pPr>
      <w:rPr>
        <w:rFonts w:cstheme="minorBidi" w:hint="default"/>
        <w:i/>
      </w:rPr>
    </w:lvl>
    <w:lvl w:ilvl="5">
      <w:start w:val="1"/>
      <w:numFmt w:val="decimal"/>
      <w:lvlText w:val="%1.%2.%3.%4.%5.%6."/>
      <w:lvlJc w:val="left"/>
      <w:pPr>
        <w:ind w:left="4625" w:hanging="1080"/>
      </w:pPr>
      <w:rPr>
        <w:rFonts w:cstheme="minorBidi" w:hint="default"/>
        <w:i/>
      </w:rPr>
    </w:lvl>
    <w:lvl w:ilvl="6">
      <w:start w:val="1"/>
      <w:numFmt w:val="decimal"/>
      <w:lvlText w:val="%1.%2.%3.%4.%5.%6.%7."/>
      <w:lvlJc w:val="left"/>
      <w:pPr>
        <w:ind w:left="5694" w:hanging="1440"/>
      </w:pPr>
      <w:rPr>
        <w:rFonts w:cstheme="minorBidi" w:hint="default"/>
        <w:i/>
      </w:rPr>
    </w:lvl>
    <w:lvl w:ilvl="7">
      <w:start w:val="1"/>
      <w:numFmt w:val="decimal"/>
      <w:lvlText w:val="%1.%2.%3.%4.%5.%6.%7.%8."/>
      <w:lvlJc w:val="left"/>
      <w:pPr>
        <w:ind w:left="6403" w:hanging="1440"/>
      </w:pPr>
      <w:rPr>
        <w:rFonts w:cstheme="minorBidi" w:hint="default"/>
        <w:i/>
      </w:rPr>
    </w:lvl>
    <w:lvl w:ilvl="8">
      <w:start w:val="1"/>
      <w:numFmt w:val="decimal"/>
      <w:lvlText w:val="%1.%2.%3.%4.%5.%6.%7.%8.%9."/>
      <w:lvlJc w:val="left"/>
      <w:pPr>
        <w:ind w:left="7472" w:hanging="1800"/>
      </w:pPr>
      <w:rPr>
        <w:rFonts w:cstheme="minorBidi" w:hint="default"/>
        <w:i/>
      </w:rPr>
    </w:lvl>
  </w:abstractNum>
  <w:abstractNum w:abstractNumId="22" w15:restartNumberingAfterBreak="0">
    <w:nsid w:val="4A2B11CC"/>
    <w:multiLevelType w:val="multilevel"/>
    <w:tmpl w:val="C6B6C44C"/>
    <w:lvl w:ilvl="0">
      <w:start w:val="1"/>
      <w:numFmt w:val="decimal"/>
      <w:lvlText w:val="%1."/>
      <w:lvlJc w:val="left"/>
      <w:pPr>
        <w:ind w:left="600" w:hanging="600"/>
      </w:pPr>
      <w:rPr>
        <w:rFonts w:hint="default"/>
        <w:i w:val="0"/>
      </w:rPr>
    </w:lvl>
    <w:lvl w:ilvl="1">
      <w:start w:val="1"/>
      <w:numFmt w:val="decimal"/>
      <w:lvlText w:val="%1.%2."/>
      <w:lvlJc w:val="left"/>
      <w:pPr>
        <w:ind w:left="1320" w:hanging="60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3" w15:restartNumberingAfterBreak="0">
    <w:nsid w:val="4C186820"/>
    <w:multiLevelType w:val="hybridMultilevel"/>
    <w:tmpl w:val="79203906"/>
    <w:lvl w:ilvl="0" w:tplc="DB303A86">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54F90D1C"/>
    <w:multiLevelType w:val="hybridMultilevel"/>
    <w:tmpl w:val="3790F938"/>
    <w:lvl w:ilvl="0" w:tplc="B66E4474">
      <w:start w:val="1"/>
      <w:numFmt w:val="bullet"/>
      <w:lvlText w:val="-"/>
      <w:lvlJc w:val="left"/>
      <w:pPr>
        <w:ind w:left="720" w:hanging="360"/>
      </w:pPr>
      <w:rPr>
        <w:rFonts w:ascii="Times New Roman" w:eastAsia="Times"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C4627"/>
    <w:multiLevelType w:val="hybridMultilevel"/>
    <w:tmpl w:val="8B08599C"/>
    <w:lvl w:ilvl="0" w:tplc="1488EE88">
      <w:start w:val="1"/>
      <w:numFmt w:val="decimal"/>
      <w:lvlText w:val="%1."/>
      <w:lvlJc w:val="left"/>
      <w:pPr>
        <w:ind w:left="1070"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7DC60DD"/>
    <w:multiLevelType w:val="multilevel"/>
    <w:tmpl w:val="E6084AB8"/>
    <w:lvl w:ilvl="0">
      <w:start w:val="1"/>
      <w:numFmt w:val="decimal"/>
      <w:lvlText w:val="%1."/>
      <w:lvlJc w:val="left"/>
      <w:pPr>
        <w:ind w:left="720" w:hanging="360"/>
      </w:pPr>
      <w:rPr>
        <w:rFonts w:hint="default"/>
        <w:b/>
        <w:bCs/>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C0A2722"/>
    <w:multiLevelType w:val="multilevel"/>
    <w:tmpl w:val="FD26269A"/>
    <w:lvl w:ilvl="0">
      <w:start w:val="1"/>
      <w:numFmt w:val="decimal"/>
      <w:lvlText w:val="%1."/>
      <w:lvlJc w:val="left"/>
      <w:pPr>
        <w:ind w:left="360" w:hanging="360"/>
      </w:pPr>
      <w:rPr>
        <w:rFonts w:cstheme="minorBidi" w:hint="default"/>
      </w:rPr>
    </w:lvl>
    <w:lvl w:ilvl="1">
      <w:start w:val="1"/>
      <w:numFmt w:val="decimal"/>
      <w:lvlText w:val="%1.%2."/>
      <w:lvlJc w:val="left"/>
      <w:pPr>
        <w:ind w:left="1287" w:hanging="360"/>
      </w:pPr>
      <w:rPr>
        <w:rFonts w:cstheme="minorBidi" w:hint="default"/>
      </w:rPr>
    </w:lvl>
    <w:lvl w:ilvl="2">
      <w:start w:val="1"/>
      <w:numFmt w:val="decimal"/>
      <w:lvlText w:val="%1.%2.%3."/>
      <w:lvlJc w:val="left"/>
      <w:pPr>
        <w:ind w:left="2574" w:hanging="720"/>
      </w:pPr>
      <w:rPr>
        <w:rFonts w:cstheme="minorBidi" w:hint="default"/>
      </w:rPr>
    </w:lvl>
    <w:lvl w:ilvl="3">
      <w:start w:val="1"/>
      <w:numFmt w:val="decimal"/>
      <w:lvlText w:val="%1.%2.%3.%4."/>
      <w:lvlJc w:val="left"/>
      <w:pPr>
        <w:ind w:left="3501" w:hanging="720"/>
      </w:pPr>
      <w:rPr>
        <w:rFonts w:cstheme="minorBidi" w:hint="default"/>
      </w:rPr>
    </w:lvl>
    <w:lvl w:ilvl="4">
      <w:start w:val="1"/>
      <w:numFmt w:val="decimal"/>
      <w:lvlText w:val="%1.%2.%3.%4.%5."/>
      <w:lvlJc w:val="left"/>
      <w:pPr>
        <w:ind w:left="4788" w:hanging="1080"/>
      </w:pPr>
      <w:rPr>
        <w:rFonts w:cstheme="minorBidi" w:hint="default"/>
      </w:rPr>
    </w:lvl>
    <w:lvl w:ilvl="5">
      <w:start w:val="1"/>
      <w:numFmt w:val="decimal"/>
      <w:lvlText w:val="%1.%2.%3.%4.%5.%6."/>
      <w:lvlJc w:val="left"/>
      <w:pPr>
        <w:ind w:left="5715" w:hanging="1080"/>
      </w:pPr>
      <w:rPr>
        <w:rFonts w:cstheme="minorBidi" w:hint="default"/>
      </w:rPr>
    </w:lvl>
    <w:lvl w:ilvl="6">
      <w:start w:val="1"/>
      <w:numFmt w:val="decimal"/>
      <w:lvlText w:val="%1.%2.%3.%4.%5.%6.%7."/>
      <w:lvlJc w:val="left"/>
      <w:pPr>
        <w:ind w:left="7002" w:hanging="1440"/>
      </w:pPr>
      <w:rPr>
        <w:rFonts w:cstheme="minorBidi" w:hint="default"/>
      </w:rPr>
    </w:lvl>
    <w:lvl w:ilvl="7">
      <w:start w:val="1"/>
      <w:numFmt w:val="decimal"/>
      <w:lvlText w:val="%1.%2.%3.%4.%5.%6.%7.%8."/>
      <w:lvlJc w:val="left"/>
      <w:pPr>
        <w:ind w:left="7929" w:hanging="1440"/>
      </w:pPr>
      <w:rPr>
        <w:rFonts w:cstheme="minorBidi" w:hint="default"/>
      </w:rPr>
    </w:lvl>
    <w:lvl w:ilvl="8">
      <w:start w:val="1"/>
      <w:numFmt w:val="decimal"/>
      <w:lvlText w:val="%1.%2.%3.%4.%5.%6.%7.%8.%9."/>
      <w:lvlJc w:val="left"/>
      <w:pPr>
        <w:ind w:left="9216" w:hanging="1800"/>
      </w:pPr>
      <w:rPr>
        <w:rFonts w:cstheme="minorBidi" w:hint="default"/>
      </w:rPr>
    </w:lvl>
  </w:abstractNum>
  <w:abstractNum w:abstractNumId="28" w15:restartNumberingAfterBreak="0">
    <w:nsid w:val="5FA87EEA"/>
    <w:multiLevelType w:val="multilevel"/>
    <w:tmpl w:val="602E3CB4"/>
    <w:lvl w:ilvl="0">
      <w:start w:val="1"/>
      <w:numFmt w:val="decimal"/>
      <w:lvlText w:val="%1."/>
      <w:lvlJc w:val="left"/>
      <w:pPr>
        <w:tabs>
          <w:tab w:val="num" w:pos="927"/>
        </w:tabs>
        <w:ind w:left="927" w:hanging="360"/>
      </w:pPr>
      <w:rPr>
        <w:rFonts w:hint="default"/>
        <w:b/>
        <w:bCs/>
      </w:rPr>
    </w:lvl>
    <w:lvl w:ilvl="1">
      <w:start w:val="1"/>
      <w:numFmt w:val="decimal"/>
      <w:isLgl/>
      <w:lvlText w:val="%1.%2"/>
      <w:lvlJc w:val="left"/>
      <w:pPr>
        <w:ind w:left="1069" w:hanging="360"/>
      </w:pPr>
      <w:rPr>
        <w:rFonts w:ascii="Times New Roman" w:hAnsi="Times New Roman" w:cs="Times New Roman" w:hint="default"/>
        <w:color w:val="000000"/>
      </w:rPr>
    </w:lvl>
    <w:lvl w:ilvl="2">
      <w:start w:val="1"/>
      <w:numFmt w:val="decimal"/>
      <w:isLgl/>
      <w:lvlText w:val="%1.%2.%3"/>
      <w:lvlJc w:val="left"/>
      <w:pPr>
        <w:ind w:left="1571" w:hanging="720"/>
      </w:pPr>
      <w:rPr>
        <w:rFonts w:ascii="Times New Roman" w:hAnsi="Times New Roman" w:cs="Times New Roman" w:hint="default"/>
        <w:color w:val="000000"/>
      </w:rPr>
    </w:lvl>
    <w:lvl w:ilvl="3">
      <w:start w:val="1"/>
      <w:numFmt w:val="decimal"/>
      <w:isLgl/>
      <w:lvlText w:val="%1.%2.%3.%4"/>
      <w:lvlJc w:val="left"/>
      <w:pPr>
        <w:ind w:left="1713" w:hanging="720"/>
      </w:pPr>
      <w:rPr>
        <w:rFonts w:ascii="Times New Roman" w:hAnsi="Times New Roman" w:cs="Times New Roman" w:hint="default"/>
        <w:color w:val="000000"/>
      </w:rPr>
    </w:lvl>
    <w:lvl w:ilvl="4">
      <w:start w:val="1"/>
      <w:numFmt w:val="decimal"/>
      <w:isLgl/>
      <w:lvlText w:val="%1.%2.%3.%4.%5"/>
      <w:lvlJc w:val="left"/>
      <w:pPr>
        <w:ind w:left="2215" w:hanging="1080"/>
      </w:pPr>
      <w:rPr>
        <w:rFonts w:ascii="Times New Roman" w:hAnsi="Times New Roman" w:cs="Times New Roman" w:hint="default"/>
        <w:color w:val="000000"/>
      </w:rPr>
    </w:lvl>
    <w:lvl w:ilvl="5">
      <w:start w:val="1"/>
      <w:numFmt w:val="decimal"/>
      <w:isLgl/>
      <w:lvlText w:val="%1.%2.%3.%4.%5.%6"/>
      <w:lvlJc w:val="left"/>
      <w:pPr>
        <w:ind w:left="2357" w:hanging="1080"/>
      </w:pPr>
      <w:rPr>
        <w:rFonts w:ascii="Times New Roman" w:hAnsi="Times New Roman" w:cs="Times New Roman" w:hint="default"/>
        <w:color w:val="000000"/>
      </w:rPr>
    </w:lvl>
    <w:lvl w:ilvl="6">
      <w:start w:val="1"/>
      <w:numFmt w:val="decimal"/>
      <w:isLgl/>
      <w:lvlText w:val="%1.%2.%3.%4.%5.%6.%7"/>
      <w:lvlJc w:val="left"/>
      <w:pPr>
        <w:ind w:left="2859" w:hanging="1440"/>
      </w:pPr>
      <w:rPr>
        <w:rFonts w:ascii="Times New Roman" w:hAnsi="Times New Roman" w:cs="Times New Roman" w:hint="default"/>
        <w:color w:val="000000"/>
      </w:rPr>
    </w:lvl>
    <w:lvl w:ilvl="7">
      <w:start w:val="1"/>
      <w:numFmt w:val="decimal"/>
      <w:isLgl/>
      <w:lvlText w:val="%1.%2.%3.%4.%5.%6.%7.%8"/>
      <w:lvlJc w:val="left"/>
      <w:pPr>
        <w:ind w:left="3001" w:hanging="1440"/>
      </w:pPr>
      <w:rPr>
        <w:rFonts w:ascii="Times New Roman" w:hAnsi="Times New Roman" w:cs="Times New Roman" w:hint="default"/>
        <w:color w:val="000000"/>
      </w:rPr>
    </w:lvl>
    <w:lvl w:ilvl="8">
      <w:start w:val="1"/>
      <w:numFmt w:val="decimal"/>
      <w:isLgl/>
      <w:lvlText w:val="%1.%2.%3.%4.%5.%6.%7.%8.%9"/>
      <w:lvlJc w:val="left"/>
      <w:pPr>
        <w:ind w:left="3503" w:hanging="1800"/>
      </w:pPr>
      <w:rPr>
        <w:rFonts w:ascii="Times New Roman" w:hAnsi="Times New Roman" w:cs="Times New Roman" w:hint="default"/>
        <w:color w:val="000000"/>
      </w:rPr>
    </w:lvl>
  </w:abstractNum>
  <w:abstractNum w:abstractNumId="29" w15:restartNumberingAfterBreak="0">
    <w:nsid w:val="63684E2E"/>
    <w:multiLevelType w:val="multilevel"/>
    <w:tmpl w:val="C3AC311E"/>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4DB7CE8"/>
    <w:multiLevelType w:val="multilevel"/>
    <w:tmpl w:val="6180F9E4"/>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65F253F"/>
    <w:multiLevelType w:val="hybridMultilevel"/>
    <w:tmpl w:val="98F6AF5E"/>
    <w:lvl w:ilvl="0" w:tplc="BFC810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6701F7C"/>
    <w:multiLevelType w:val="hybridMultilevel"/>
    <w:tmpl w:val="B47CACAE"/>
    <w:lvl w:ilvl="0" w:tplc="1CF8D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33B88"/>
    <w:multiLevelType w:val="hybridMultilevel"/>
    <w:tmpl w:val="FFAE8434"/>
    <w:lvl w:ilvl="0" w:tplc="44644498">
      <w:start w:val="3"/>
      <w:numFmt w:val="lowerLetter"/>
      <w:lvlText w:val="(%1)"/>
      <w:lvlJc w:val="left"/>
      <w:pPr>
        <w:ind w:left="720" w:hanging="360"/>
      </w:pPr>
      <w:rPr>
        <w:rFonts w:ascii="Times New Roman" w:eastAsia="Times New Roman" w:hAnsi="Times New Roman" w:cs="Times New Roman"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263A03"/>
    <w:multiLevelType w:val="hybridMultilevel"/>
    <w:tmpl w:val="B0F4F4E8"/>
    <w:lvl w:ilvl="0" w:tplc="1CF8D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E61A6"/>
    <w:multiLevelType w:val="hybridMultilevel"/>
    <w:tmpl w:val="BAE0BA10"/>
    <w:lvl w:ilvl="0" w:tplc="1CF8D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F4AA2"/>
    <w:multiLevelType w:val="hybridMultilevel"/>
    <w:tmpl w:val="B9F8EE10"/>
    <w:lvl w:ilvl="0" w:tplc="74926366">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4322692">
    <w:abstractNumId w:val="28"/>
  </w:num>
  <w:num w:numId="2" w16cid:durableId="191766287">
    <w:abstractNumId w:val="26"/>
  </w:num>
  <w:num w:numId="3" w16cid:durableId="910043247">
    <w:abstractNumId w:val="20"/>
  </w:num>
  <w:num w:numId="4" w16cid:durableId="1627390560">
    <w:abstractNumId w:val="7"/>
  </w:num>
  <w:num w:numId="5" w16cid:durableId="181407298">
    <w:abstractNumId w:val="5"/>
  </w:num>
  <w:num w:numId="6" w16cid:durableId="979114611">
    <w:abstractNumId w:val="6"/>
  </w:num>
  <w:num w:numId="7" w16cid:durableId="1941597700">
    <w:abstractNumId w:val="24"/>
  </w:num>
  <w:num w:numId="8" w16cid:durableId="1668241673">
    <w:abstractNumId w:val="33"/>
  </w:num>
  <w:num w:numId="9" w16cid:durableId="1010255245">
    <w:abstractNumId w:val="12"/>
  </w:num>
  <w:num w:numId="10" w16cid:durableId="90900233">
    <w:abstractNumId w:val="2"/>
  </w:num>
  <w:num w:numId="11" w16cid:durableId="1445266070">
    <w:abstractNumId w:val="8"/>
  </w:num>
  <w:num w:numId="12" w16cid:durableId="1191727969">
    <w:abstractNumId w:val="11"/>
  </w:num>
  <w:num w:numId="13" w16cid:durableId="1979725916">
    <w:abstractNumId w:val="13"/>
  </w:num>
  <w:num w:numId="14" w16cid:durableId="674919087">
    <w:abstractNumId w:val="29"/>
  </w:num>
  <w:num w:numId="15" w16cid:durableId="1768501716">
    <w:abstractNumId w:val="9"/>
  </w:num>
  <w:num w:numId="16" w16cid:durableId="1408454430">
    <w:abstractNumId w:val="10"/>
  </w:num>
  <w:num w:numId="17" w16cid:durableId="1640308237">
    <w:abstractNumId w:val="3"/>
  </w:num>
  <w:num w:numId="18" w16cid:durableId="1218204569">
    <w:abstractNumId w:val="4"/>
  </w:num>
  <w:num w:numId="19" w16cid:durableId="1409034543">
    <w:abstractNumId w:val="18"/>
  </w:num>
  <w:num w:numId="20" w16cid:durableId="1803767498">
    <w:abstractNumId w:val="22"/>
  </w:num>
  <w:num w:numId="21" w16cid:durableId="1830828448">
    <w:abstractNumId w:val="34"/>
  </w:num>
  <w:num w:numId="22" w16cid:durableId="2146702515">
    <w:abstractNumId w:val="35"/>
  </w:num>
  <w:num w:numId="23" w16cid:durableId="1890145259">
    <w:abstractNumId w:val="32"/>
  </w:num>
  <w:num w:numId="24" w16cid:durableId="1702509801">
    <w:abstractNumId w:val="17"/>
  </w:num>
  <w:num w:numId="25" w16cid:durableId="1075131302">
    <w:abstractNumId w:val="14"/>
  </w:num>
  <w:num w:numId="26" w16cid:durableId="1914242765">
    <w:abstractNumId w:val="16"/>
  </w:num>
  <w:num w:numId="27" w16cid:durableId="946036626">
    <w:abstractNumId w:val="19"/>
  </w:num>
  <w:num w:numId="28" w16cid:durableId="1938519508">
    <w:abstractNumId w:val="27"/>
  </w:num>
  <w:num w:numId="29" w16cid:durableId="1291518829">
    <w:abstractNumId w:val="21"/>
  </w:num>
  <w:num w:numId="30" w16cid:durableId="985277815">
    <w:abstractNumId w:val="31"/>
  </w:num>
  <w:num w:numId="31" w16cid:durableId="1008560966">
    <w:abstractNumId w:val="15"/>
  </w:num>
  <w:num w:numId="32" w16cid:durableId="765541863">
    <w:abstractNumId w:val="23"/>
  </w:num>
  <w:num w:numId="33" w16cid:durableId="1599366846">
    <w:abstractNumId w:val="0"/>
  </w:num>
  <w:num w:numId="34" w16cid:durableId="757603707">
    <w:abstractNumId w:val="25"/>
  </w:num>
  <w:num w:numId="35" w16cid:durableId="584387440">
    <w:abstractNumId w:val="36"/>
  </w:num>
  <w:num w:numId="36" w16cid:durableId="836268425">
    <w:abstractNumId w:val="30"/>
  </w:num>
  <w:num w:numId="37" w16cid:durableId="1500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16"/>
    <w:rsid w:val="001C75EC"/>
    <w:rsid w:val="002B125B"/>
    <w:rsid w:val="00534116"/>
    <w:rsid w:val="005533D8"/>
    <w:rsid w:val="005D0D74"/>
    <w:rsid w:val="006377F3"/>
    <w:rsid w:val="006C0B77"/>
    <w:rsid w:val="006F38D8"/>
    <w:rsid w:val="006F6800"/>
    <w:rsid w:val="008242FF"/>
    <w:rsid w:val="008348FE"/>
    <w:rsid w:val="00870751"/>
    <w:rsid w:val="00922C48"/>
    <w:rsid w:val="00A50F4E"/>
    <w:rsid w:val="00A55813"/>
    <w:rsid w:val="00B213A5"/>
    <w:rsid w:val="00B915B7"/>
    <w:rsid w:val="00CC6E9B"/>
    <w:rsid w:val="00CD581A"/>
    <w:rsid w:val="00DC5AD7"/>
    <w:rsid w:val="00E04B12"/>
    <w:rsid w:val="00E417BB"/>
    <w:rsid w:val="00EA59DF"/>
    <w:rsid w:val="00EE4070"/>
    <w:rsid w:val="00F12C76"/>
    <w:rsid w:val="00F82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4A6B"/>
  <w15:chartTrackingRefBased/>
  <w15:docId w15:val="{4C75520F-59DD-46C4-B4A9-07623E05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16"/>
    <w:pPr>
      <w:widowControl w:val="0"/>
      <w:spacing w:after="0" w:line="240" w:lineRule="auto"/>
    </w:pPr>
    <w:rPr>
      <w:noProof/>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4116"/>
    <w:pPr>
      <w:spacing w:before="159"/>
      <w:ind w:left="511"/>
    </w:pPr>
    <w:rPr>
      <w:rFonts w:ascii="Algerian" w:eastAsia="Algerian" w:hAnsi="Algerian"/>
      <w:sz w:val="24"/>
      <w:szCs w:val="24"/>
    </w:rPr>
  </w:style>
  <w:style w:type="character" w:customStyle="1" w:styleId="BodyTextChar">
    <w:name w:val="Body Text Char"/>
    <w:basedOn w:val="DefaultParagraphFont"/>
    <w:link w:val="BodyText"/>
    <w:uiPriority w:val="1"/>
    <w:rsid w:val="00534116"/>
    <w:rPr>
      <w:rFonts w:ascii="Algerian" w:eastAsia="Algerian" w:hAnsi="Algerian"/>
      <w:noProof/>
      <w:sz w:val="24"/>
      <w:szCs w:val="24"/>
      <w:lang w:val="ro-MD"/>
    </w:rPr>
  </w:style>
  <w:style w:type="paragraph" w:styleId="ListParagraph">
    <w:name w:val="List Paragraph"/>
    <w:aliases w:val="АБВ"/>
    <w:basedOn w:val="Normal"/>
    <w:uiPriority w:val="1"/>
    <w:qFormat/>
    <w:rsid w:val="00534116"/>
  </w:style>
  <w:style w:type="paragraph" w:customStyle="1" w:styleId="TableParagraph">
    <w:name w:val="Table Paragraph"/>
    <w:basedOn w:val="Normal"/>
    <w:uiPriority w:val="1"/>
    <w:qFormat/>
    <w:rsid w:val="00534116"/>
  </w:style>
  <w:style w:type="table" w:styleId="TableGrid">
    <w:name w:val="Table Grid"/>
    <w:basedOn w:val="TableNormal"/>
    <w:uiPriority w:val="39"/>
    <w:rsid w:val="0053411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pple-converted-space">
    <w:name w:val="apple-converted-space"/>
    <w:basedOn w:val="DefaultParagraphFont"/>
    <w:rsid w:val="00534116"/>
  </w:style>
  <w:style w:type="paragraph" w:styleId="NormalWeb">
    <w:name w:val="Normal (Web)"/>
    <w:basedOn w:val="Normal"/>
    <w:uiPriority w:val="99"/>
    <w:unhideWhenUsed/>
    <w:rsid w:val="00534116"/>
    <w:pPr>
      <w:widowControl/>
      <w:ind w:firstLine="567"/>
      <w:jc w:val="both"/>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34116"/>
    <w:rPr>
      <w:color w:val="0000FF"/>
      <w:u w:val="single"/>
    </w:rPr>
  </w:style>
  <w:style w:type="paragraph" w:customStyle="1" w:styleId="oj-normal">
    <w:name w:val="oj-normal"/>
    <w:basedOn w:val="Normal"/>
    <w:rsid w:val="00534116"/>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534116"/>
    <w:rPr>
      <w:sz w:val="20"/>
      <w:szCs w:val="20"/>
    </w:rPr>
  </w:style>
  <w:style w:type="character" w:customStyle="1" w:styleId="FootnoteTextChar">
    <w:name w:val="Footnote Text Char"/>
    <w:basedOn w:val="DefaultParagraphFont"/>
    <w:link w:val="FootnoteText"/>
    <w:uiPriority w:val="99"/>
    <w:semiHidden/>
    <w:rsid w:val="00534116"/>
    <w:rPr>
      <w:noProof/>
      <w:sz w:val="20"/>
      <w:szCs w:val="20"/>
      <w:lang w:val="ro-MD"/>
    </w:rPr>
  </w:style>
  <w:style w:type="paragraph" w:styleId="EndnoteText">
    <w:name w:val="endnote text"/>
    <w:basedOn w:val="Normal"/>
    <w:link w:val="EndnoteTextChar"/>
    <w:uiPriority w:val="99"/>
    <w:semiHidden/>
    <w:unhideWhenUsed/>
    <w:rsid w:val="00534116"/>
    <w:rPr>
      <w:sz w:val="20"/>
      <w:szCs w:val="20"/>
    </w:rPr>
  </w:style>
  <w:style w:type="character" w:customStyle="1" w:styleId="EndnoteTextChar">
    <w:name w:val="Endnote Text Char"/>
    <w:basedOn w:val="DefaultParagraphFont"/>
    <w:link w:val="EndnoteText"/>
    <w:uiPriority w:val="99"/>
    <w:semiHidden/>
    <w:rsid w:val="00534116"/>
    <w:rPr>
      <w:noProof/>
      <w:sz w:val="20"/>
      <w:szCs w:val="20"/>
      <w:lang w:val="ro-MD"/>
    </w:rPr>
  </w:style>
  <w:style w:type="paragraph" w:customStyle="1" w:styleId="1">
    <w:name w:val="Абзац списка1"/>
    <w:basedOn w:val="Normal"/>
    <w:rsid w:val="00534116"/>
    <w:pPr>
      <w:widowControl/>
      <w:suppressAutoHyphens/>
      <w:autoSpaceDN w:val="0"/>
      <w:ind w:left="720"/>
      <w:textAlignment w:val="baseline"/>
    </w:pPr>
    <w:rPr>
      <w:rFonts w:ascii="Times New Roman" w:eastAsia="SimSun" w:hAnsi="Times New Roman" w:cs="Mangal"/>
      <w:kern w:val="3"/>
      <w:sz w:val="24"/>
      <w:szCs w:val="24"/>
      <w:lang w:val="ro-RO" w:eastAsia="zh-CN" w:bidi="hi-IN"/>
    </w:rPr>
  </w:style>
  <w:style w:type="paragraph" w:customStyle="1" w:styleId="cp">
    <w:name w:val="cp"/>
    <w:basedOn w:val="Normal"/>
    <w:rsid w:val="00534116"/>
    <w:pPr>
      <w:widowControl/>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34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116"/>
    <w:rPr>
      <w:rFonts w:ascii="Segoe UI" w:hAnsi="Segoe UI" w:cs="Segoe UI"/>
      <w:noProof/>
      <w:sz w:val="18"/>
      <w:szCs w:val="18"/>
      <w:lang w:val="ro-MD"/>
    </w:rPr>
  </w:style>
  <w:style w:type="character" w:styleId="CommentReference">
    <w:name w:val="annotation reference"/>
    <w:basedOn w:val="DefaultParagraphFont"/>
    <w:uiPriority w:val="99"/>
    <w:semiHidden/>
    <w:unhideWhenUsed/>
    <w:rsid w:val="00534116"/>
    <w:rPr>
      <w:sz w:val="16"/>
      <w:szCs w:val="16"/>
    </w:rPr>
  </w:style>
  <w:style w:type="paragraph" w:styleId="CommentText">
    <w:name w:val="annotation text"/>
    <w:basedOn w:val="Normal"/>
    <w:link w:val="CommentTextChar"/>
    <w:uiPriority w:val="99"/>
    <w:semiHidden/>
    <w:unhideWhenUsed/>
    <w:rsid w:val="00534116"/>
    <w:rPr>
      <w:sz w:val="20"/>
      <w:szCs w:val="20"/>
    </w:rPr>
  </w:style>
  <w:style w:type="character" w:customStyle="1" w:styleId="CommentTextChar">
    <w:name w:val="Comment Text Char"/>
    <w:basedOn w:val="DefaultParagraphFont"/>
    <w:link w:val="CommentText"/>
    <w:uiPriority w:val="99"/>
    <w:semiHidden/>
    <w:rsid w:val="00534116"/>
    <w:rPr>
      <w:noProof/>
      <w:sz w:val="20"/>
      <w:szCs w:val="20"/>
      <w:lang w:val="ro-MD"/>
    </w:rPr>
  </w:style>
  <w:style w:type="character" w:customStyle="1" w:styleId="CommentSubjectChar">
    <w:name w:val="Comment Subject Char"/>
    <w:basedOn w:val="CommentTextChar"/>
    <w:link w:val="CommentSubject"/>
    <w:uiPriority w:val="99"/>
    <w:semiHidden/>
    <w:rsid w:val="00534116"/>
    <w:rPr>
      <w:b/>
      <w:bCs/>
      <w:noProof/>
      <w:sz w:val="20"/>
      <w:szCs w:val="20"/>
      <w:lang w:val="ro-MD"/>
    </w:rPr>
  </w:style>
  <w:style w:type="paragraph" w:styleId="CommentSubject">
    <w:name w:val="annotation subject"/>
    <w:basedOn w:val="CommentText"/>
    <w:next w:val="CommentText"/>
    <w:link w:val="CommentSubjectChar"/>
    <w:uiPriority w:val="99"/>
    <w:semiHidden/>
    <w:unhideWhenUsed/>
    <w:rsid w:val="00534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4124</Words>
  <Characters>22585</Characters>
  <Application>Microsoft Office Word</Application>
  <DocSecurity>0</DocSecurity>
  <Lines>717</Lines>
  <Paragraphs>426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Budu</dc:creator>
  <cp:keywords/>
  <dc:description/>
  <cp:lastModifiedBy>Ion Corobceanu</cp:lastModifiedBy>
  <cp:revision>17</cp:revision>
  <dcterms:created xsi:type="dcterms:W3CDTF">2025-11-07T06:53:00Z</dcterms:created>
  <dcterms:modified xsi:type="dcterms:W3CDTF">2025-11-13T08:48:00Z</dcterms:modified>
</cp:coreProperties>
</file>